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522f434e10902dfedef31ba14af2d713d09374"/>
    <w:p>
      <w:pPr>
        <w:pStyle w:val="Heading3"/>
      </w:pPr>
      <w:r>
        <w:t xml:space="preserve">MASTER INCLUSION INDEX FOR CONCUSSION COMPLAINT FILINGS</w:t>
      </w:r>
    </w:p>
    <w:bookmarkStart w:id="20" w:name="Xe35e19aa8f28ccaf748de5b3d1b062abf03deb2"/>
    <w:p>
      <w:pPr>
        <w:pStyle w:val="Heading4"/>
      </w:pPr>
      <w:r>
        <w:t xml:space="preserve">Unified Filing in 14th Circuit Court – Muskegon County</w:t>
      </w:r>
    </w:p>
    <w:bookmarkEnd w:id="20"/>
    <w:bookmarkEnd w:id="21"/>
    <w:bookmarkStart w:id="30" w:name="X081d2947234e90da8fc406ee02aecfe50e3a96f"/>
    <w:p>
      <w:pPr>
        <w:pStyle w:val="Heading2"/>
      </w:pPr>
      <w:r>
        <w:t xml:space="preserve">#### Title: Verified Complaint for Injunctive Relief, Declaratory Judgment, Damages, and Civil Penalties</w:t>
      </w:r>
    </w:p>
    <w:bookmarkStart w:id="22" w:name="i.-pleading-structure-primary-body"/>
    <w:p>
      <w:pPr>
        <w:pStyle w:val="Heading3"/>
      </w:pPr>
      <w:r>
        <w:t xml:space="preserve">I. PLEADING STRUCTURE (PRIMARY BODY)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Caption + Case Heading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Complaint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Preliminary Statement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Jurisdiction and Venue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Factual Allegations (Chronological Timeline)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Counts I–X</w:t>
      </w:r>
      <w:r>
        <w:t xml:space="preserve"> </w:t>
      </w:r>
      <w:r>
        <w:t xml:space="preserve">– Legal Causes of 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Relief Requested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 Clause with Signature Line</w:t>
      </w:r>
    </w:p>
    <w:p>
      <w:r>
        <w:pict>
          <v:rect style="width:0;height:1.5pt" o:hralign="center" o:hrstd="t" o:hr="t"/>
        </w:pict>
      </w:r>
    </w:p>
    <w:bookmarkEnd w:id="22"/>
    <w:bookmarkStart w:id="23" w:name="Xb4ce016f8e23ba9cfb923a879d88dbecb2154cb"/>
    <w:p>
      <w:pPr>
        <w:pStyle w:val="Heading3"/>
      </w:pPr>
      <w:r>
        <w:t xml:space="preserve">II. CAUSES OF ACTION (Each Count Individually Headed and Cited)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While Dissolved</w:t>
      </w:r>
      <w:r>
        <w:t xml:space="preserve"> </w:t>
      </w:r>
      <w:r>
        <w:t xml:space="preserve">– MCL 450.1832(1)(b), MCR 2.114(C)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Fraudulent Inducement / Lease Signed Under Duress</w:t>
      </w:r>
      <w:r>
        <w:t xml:space="preserve"> </w:t>
      </w:r>
      <w:r>
        <w:t xml:space="preserve">– Restatement (2d) Contracts §§175–176, MCL 600.5813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Retaliatory Rent Hike / Eviction Threat</w:t>
      </w:r>
      <w:r>
        <w:t xml:space="preserve"> </w:t>
      </w:r>
      <w:r>
        <w:t xml:space="preserve">– MCL 600.5775(2)–(3)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Breach of Covenant of Habitability</w:t>
      </w:r>
      <w:r>
        <w:t xml:space="preserve"> </w:t>
      </w:r>
      <w:r>
        <w:t xml:space="preserve">– MCL 554.139(1)(a)–(b), EGLE violations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Unjust Enrichment and Deceptive Billing</w:t>
      </w:r>
      <w:r>
        <w:t xml:space="preserve"> </w:t>
      </w:r>
      <w:r>
        <w:t xml:space="preserve">– Common Law + MCL 445.252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Civil Conspiracy</w:t>
      </w:r>
      <w:r>
        <w:t xml:space="preserve"> </w:t>
      </w:r>
      <w:r>
        <w:t xml:space="preserve">– MCL 750.157a; MCL 600.2954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Violation of Consumer Protection Act</w:t>
      </w:r>
      <w:r>
        <w:t xml:space="preserve"> </w:t>
      </w:r>
      <w:r>
        <w:t xml:space="preserve">– MCL 445.903(1)(s), (cc), (dd)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Retaliatory Housing Discrimination</w:t>
      </w:r>
      <w:r>
        <w:t xml:space="preserve"> </w:t>
      </w:r>
      <w:r>
        <w:t xml:space="preserve">– 42 U.S.C. §3601 et seq. (FHA)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Federal Civil Rights Violations – Property Rights</w:t>
      </w:r>
      <w:r>
        <w:t xml:space="preserve"> </w:t>
      </w:r>
      <w:r>
        <w:t xml:space="preserve">– 42 U.S.C. §1983 (coercion, billing fraud)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Entity Registration and Agent Misrepresentation</w:t>
      </w:r>
      <w:r>
        <w:t xml:space="preserve"> </w:t>
      </w:r>
      <w:r>
        <w:t xml:space="preserve">– MCL 450.1241, MCL 450.4207</w:t>
      </w:r>
    </w:p>
    <w:p>
      <w:r>
        <w:pict>
          <v:rect style="width:0;height:1.5pt" o:hralign="center" o:hrstd="t" o:hr="t"/>
        </w:pict>
      </w:r>
    </w:p>
    <w:bookmarkEnd w:id="23"/>
    <w:bookmarkStart w:id="24" w:name="iii.-relief-requested"/>
    <w:p>
      <w:pPr>
        <w:pStyle w:val="Heading3"/>
      </w:pPr>
      <w:r>
        <w:t xml:space="preserve">III. RELIEF REQUESTED</w:t>
      </w:r>
    </w:p>
    <w:p>
      <w:pPr>
        <w:pStyle w:val="Compact"/>
        <w:numPr>
          <w:ilvl w:val="0"/>
          <w:numId w:val="1003"/>
        </w:numPr>
      </w:pPr>
      <w:r>
        <w:t xml:space="preserve">Declaratory Judgment – Shady Oaks legally dissolved and incapable of filings</w:t>
      </w:r>
    </w:p>
    <w:p>
      <w:pPr>
        <w:pStyle w:val="Compact"/>
        <w:numPr>
          <w:ilvl w:val="0"/>
          <w:numId w:val="1003"/>
        </w:numPr>
      </w:pPr>
      <w:r>
        <w:t xml:space="preserve">Injunction – Block further use of dissolved entity in litigation</w:t>
      </w:r>
    </w:p>
    <w:p>
      <w:pPr>
        <w:pStyle w:val="Compact"/>
        <w:numPr>
          <w:ilvl w:val="0"/>
          <w:numId w:val="1003"/>
        </w:numPr>
      </w:pPr>
      <w:r>
        <w:t xml:space="preserve">Damages:</w:t>
      </w:r>
    </w:p>
    <w:p>
      <w:pPr>
        <w:pStyle w:val="Compact"/>
        <w:numPr>
          <w:ilvl w:val="1"/>
          <w:numId w:val="1004"/>
        </w:numPr>
      </w:pPr>
      <w:r>
        <w:t xml:space="preserve">Actual: Overpayment of rent, utilities</w:t>
      </w:r>
    </w:p>
    <w:p>
      <w:pPr>
        <w:pStyle w:val="Compact"/>
        <w:numPr>
          <w:ilvl w:val="1"/>
          <w:numId w:val="1004"/>
        </w:numPr>
      </w:pPr>
      <w:r>
        <w:t xml:space="preserve">Treble: Under MCPA and housing retaliation laws</w:t>
      </w:r>
    </w:p>
    <w:p>
      <w:pPr>
        <w:pStyle w:val="Compact"/>
        <w:numPr>
          <w:ilvl w:val="1"/>
          <w:numId w:val="1004"/>
        </w:numPr>
      </w:pPr>
      <w:r>
        <w:t xml:space="preserve">Civil Penalties: e.g., $500/day post-shutoff</w:t>
      </w:r>
    </w:p>
    <w:p>
      <w:pPr>
        <w:pStyle w:val="Compact"/>
        <w:numPr>
          <w:ilvl w:val="0"/>
          <w:numId w:val="1003"/>
        </w:numPr>
      </w:pPr>
      <w:r>
        <w:t xml:space="preserve">Equitable Relief – Contract nullification, refund of coerced payments</w:t>
      </w:r>
    </w:p>
    <w:p>
      <w:pPr>
        <w:pStyle w:val="Compact"/>
        <w:numPr>
          <w:ilvl w:val="0"/>
          <w:numId w:val="1003"/>
        </w:numPr>
      </w:pPr>
      <w:r>
        <w:t xml:space="preserve">Agency Enforcement Referral – HUD, EGLE, AG</w:t>
      </w:r>
    </w:p>
    <w:p>
      <w:pPr>
        <w:pStyle w:val="Compact"/>
        <w:numPr>
          <w:ilvl w:val="0"/>
          <w:numId w:val="1003"/>
        </w:numPr>
      </w:pPr>
      <w:r>
        <w:t xml:space="preserve">Attorney Fees + Costs</w:t>
      </w:r>
    </w:p>
    <w:p>
      <w:pPr>
        <w:pStyle w:val="Compact"/>
        <w:numPr>
          <w:ilvl w:val="0"/>
          <w:numId w:val="1003"/>
        </w:numPr>
      </w:pPr>
      <w:r>
        <w:t xml:space="preserve">Any further relief this Court deems just</w:t>
      </w:r>
    </w:p>
    <w:p>
      <w:r>
        <w:pict>
          <v:rect style="width:0;height:1.5pt" o:hralign="center" o:hrstd="t" o:hr="t"/>
        </w:pict>
      </w:r>
    </w:p>
    <w:bookmarkEnd w:id="24"/>
    <w:bookmarkStart w:id="25" w:name="iv.-exhibit-index-labelled-az-aaaz"/>
    <w:p>
      <w:pPr>
        <w:pStyle w:val="Heading3"/>
      </w:pPr>
      <w:r>
        <w:t xml:space="preserve">IV. EXHIBIT INDEX (LABELLED A–Z, AA–AZ)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– LARA Document: Shady Oaks Dissolution (02/15/2023)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– Rent Ledger (Feb 2024–Present)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– Cricklewood Lease + Signing Narrative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</w:t>
      </w:r>
      <w:r>
        <w:t xml:space="preserve"> </w:t>
      </w:r>
      <w:r>
        <w:t xml:space="preserve">– Water Shutoff Photo Log (May 20, 2025)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</w:t>
      </w:r>
      <w:r>
        <w:t xml:space="preserve"> </w:t>
      </w:r>
      <w:r>
        <w:t xml:space="preserve">– EGLE Violation Report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</w:t>
      </w:r>
      <w:r>
        <w:t xml:space="preserve"> </w:t>
      </w:r>
      <w:r>
        <w:t xml:space="preserve">– Payment Receipts from Karen Rettig / MDHHS / True North (July 2024)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</w:t>
      </w:r>
      <w:r>
        <w:t xml:space="preserve"> </w:t>
      </w:r>
      <w:r>
        <w:t xml:space="preserve">– CT Corporation Return Mail and Registered Agent Record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</w:t>
      </w:r>
      <w:r>
        <w:t xml:space="preserve"> </w:t>
      </w:r>
      <w:r>
        <w:t xml:space="preserve">– Text Message Screenshot: Rent Hike Threat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</w:t>
      </w:r>
      <w:r>
        <w:t xml:space="preserve"> </w:t>
      </w:r>
      <w:r>
        <w:t xml:space="preserve">– Sewer Photos + Witness Statement (if available)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</w:t>
      </w:r>
      <w:r>
        <w:t xml:space="preserve"> </w:t>
      </w:r>
      <w:r>
        <w:t xml:space="preserve">– AppClose Communication Logs Relevant to Housing Conditions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</w:t>
      </w:r>
      <w:r>
        <w:t xml:space="preserve"> </w:t>
      </w:r>
      <w:r>
        <w:t xml:space="preserve">– Timeline Exhibit (Chronological Harm Timeline)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</w:t>
      </w:r>
      <w:r>
        <w:t xml:space="preserve"> </w:t>
      </w:r>
      <w:r>
        <w:t xml:space="preserve">– HUD Complaint Packet Copy (as served)</w:t>
      </w:r>
    </w:p>
    <w:p>
      <w:r>
        <w:pict>
          <v:rect style="width:0;height:1.5pt" o:hralign="center" o:hrstd="t" o:hr="t"/>
        </w:pict>
      </w:r>
    </w:p>
    <w:bookmarkEnd w:id="25"/>
    <w:bookmarkStart w:id="26" w:name="v.-embedded-attachments"/>
    <w:p>
      <w:pPr>
        <w:pStyle w:val="Heading3"/>
      </w:pPr>
      <w:r>
        <w:t xml:space="preserve">V. EMBEDDED ATTACHMENTS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Proposed Order (MC 07)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Verification Page with Notary Block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Proof of Service (MC 02)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Clerk Filing Cover Sheet (MC 01 or MC 12)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HUD/EGLE/AG Complaint Cover Memos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QR and Hash Authentication Table (for exhibits)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Entity Dissolution Violation Matrix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Contradiction Matrix (Statements by Defendants/Counsel)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Retaliation Index (Timeline of protected acts → harm → rent change)</w:t>
      </w:r>
    </w:p>
    <w:p>
      <w:r>
        <w:pict>
          <v:rect style="width:0;height:1.5pt" o:hralign="center" o:hrstd="t" o:hr="t"/>
        </w:pict>
      </w:r>
    </w:p>
    <w:bookmarkEnd w:id="26"/>
    <w:bookmarkStart w:id="27" w:name="Xee60e78045056565f3e00e25173b0dfd91141dc"/>
    <w:p>
      <w:pPr>
        <w:pStyle w:val="Heading3"/>
      </w:pPr>
      <w:r>
        <w:t xml:space="preserve">VI. RESERVED MOTIONS (TO BE FILED SEPARATELY OR WITHIN)</w:t>
      </w:r>
    </w:p>
    <w:p>
      <w:pPr>
        <w:pStyle w:val="Compact"/>
        <w:numPr>
          <w:ilvl w:val="0"/>
          <w:numId w:val="1007"/>
        </w:numPr>
      </w:pPr>
      <w:r>
        <w:t xml:space="preserve">Motion to Transfer Any 60th District Action to 14th Circuit – MCR 2.227(A)</w:t>
      </w:r>
    </w:p>
    <w:p>
      <w:pPr>
        <w:pStyle w:val="Compact"/>
        <w:numPr>
          <w:ilvl w:val="0"/>
          <w:numId w:val="1007"/>
        </w:numPr>
      </w:pPr>
      <w:r>
        <w:t xml:space="preserve">Motion to Void All Post-Dissolution Filings – MCR 2.612(C)</w:t>
      </w:r>
    </w:p>
    <w:p>
      <w:pPr>
        <w:pStyle w:val="Compact"/>
        <w:numPr>
          <w:ilvl w:val="0"/>
          <w:numId w:val="1007"/>
        </w:numPr>
      </w:pPr>
      <w:r>
        <w:t xml:space="preserve">Emergency Motion to Restore Water / Enjoin Retaliation – MCR 3.310</w:t>
      </w:r>
    </w:p>
    <w:p>
      <w:pPr>
        <w:pStyle w:val="Compact"/>
        <w:numPr>
          <w:ilvl w:val="0"/>
          <w:numId w:val="1007"/>
        </w:numPr>
      </w:pPr>
      <w:r>
        <w:t xml:space="preserve">Motion for Preliminary Injunction</w:t>
      </w:r>
    </w:p>
    <w:p>
      <w:pPr>
        <w:pStyle w:val="Compact"/>
        <w:numPr>
          <w:ilvl w:val="0"/>
          <w:numId w:val="1007"/>
        </w:numPr>
      </w:pPr>
      <w:r>
        <w:t xml:space="preserve">Motion to Consolidate Hearings (if dual-filed agency or housing cases)</w:t>
      </w:r>
    </w:p>
    <w:p>
      <w:pPr>
        <w:pStyle w:val="Compact"/>
        <w:numPr>
          <w:ilvl w:val="0"/>
          <w:numId w:val="1007"/>
        </w:numPr>
      </w:pPr>
      <w:r>
        <w:t xml:space="preserve">Motion to Strike Improperly Filed Eviction Filings</w:t>
      </w:r>
    </w:p>
    <w:p>
      <w:r>
        <w:pict>
          <v:rect style="width:0;height:1.5pt" o:hralign="center" o:hrstd="t" o:hr="t"/>
        </w:pict>
      </w:r>
    </w:p>
    <w:bookmarkEnd w:id="27"/>
    <w:bookmarkStart w:id="28" w:name="vii.-notes-for-complaint-structure"/>
    <w:p>
      <w:pPr>
        <w:pStyle w:val="Heading3"/>
      </w:pPr>
      <w:r>
        <w:t xml:space="preserve">VII. NOTES FOR COMPLAINT STRUCTURE</w:t>
      </w:r>
    </w:p>
    <w:p>
      <w:pPr>
        <w:pStyle w:val="Compact"/>
        <w:numPr>
          <w:ilvl w:val="0"/>
          <w:numId w:val="1008"/>
        </w:numPr>
      </w:pPr>
      <w:r>
        <w:t xml:space="preserve">All factual statements must be paragraph numbered</w:t>
      </w:r>
    </w:p>
    <w:p>
      <w:pPr>
        <w:pStyle w:val="Compact"/>
        <w:numPr>
          <w:ilvl w:val="0"/>
          <w:numId w:val="1008"/>
        </w:numPr>
      </w:pPr>
      <w:r>
        <w:t xml:space="preserve">Each cause of action must be supported by: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0"/>
        </w:numPr>
      </w:pPr>
      <w:r>
        <w:t xml:space="preserve">Specific factual allegation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1"/>
        </w:numPr>
      </w:pPr>
      <w:r>
        <w:t xml:space="preserve">Statutory/legal authority</w:t>
      </w:r>
    </w:p>
    <w:p>
      <w:pPr>
        <w:pStyle w:val="Compact"/>
        <w:numPr>
          <w:ilvl w:val="1"/>
          <w:numId w:val="1009"/>
        </w:numPr>
      </w:pPr>
    </w:p>
    <w:p>
      <w:pPr>
        <w:pStyle w:val="Compact"/>
        <w:numPr>
          <w:ilvl w:val="2"/>
          <w:numId w:val="1012"/>
        </w:numPr>
      </w:pPr>
      <w:r>
        <w:t xml:space="preserve">Direct exhibit reference</w:t>
      </w:r>
    </w:p>
    <w:p>
      <w:pPr>
        <w:pStyle w:val="Compact"/>
        <w:numPr>
          <w:ilvl w:val="0"/>
          <w:numId w:val="1008"/>
        </w:numPr>
      </w:pPr>
      <w:r>
        <w:t xml:space="preserve">Narrative must follow forced lease → billing fraud → retaliation → water shutoff → harm</w:t>
      </w:r>
    </w:p>
    <w:p>
      <w:r>
        <w:pict>
          <v:rect style="width:0;height:1.5pt" o:hralign="center" o:hrstd="t" o:hr="t"/>
        </w:pict>
      </w:r>
    </w:p>
    <w:bookmarkEnd w:id="28"/>
    <w:bookmarkStart w:id="29" w:name="viii.-final-tasks-before-zip-or-filing"/>
    <w:p>
      <w:pPr>
        <w:pStyle w:val="Heading3"/>
      </w:pPr>
      <w:r>
        <w:t xml:space="preserve">VIII. FINAL TASKS BEFORE ZIP OR FILING</w:t>
      </w:r>
    </w:p>
    <w:p>
      <w:pPr>
        <w:pStyle w:val="Compact"/>
        <w:numPr>
          <w:ilvl w:val="0"/>
          <w:numId w:val="1013"/>
        </w:numPr>
      </w:pPr>
      <w:r>
        <w:t xml:space="preserve">Review each section in Canvas</w:t>
      </w:r>
    </w:p>
    <w:p>
      <w:pPr>
        <w:pStyle w:val="Compact"/>
        <w:numPr>
          <w:ilvl w:val="0"/>
          <w:numId w:val="1013"/>
        </w:numPr>
      </w:pPr>
      <w:r>
        <w:t xml:space="preserve">Approve language for signature + verification</w:t>
      </w:r>
    </w:p>
    <w:p>
      <w:pPr>
        <w:pStyle w:val="Compact"/>
        <w:numPr>
          <w:ilvl w:val="0"/>
          <w:numId w:val="1013"/>
        </w:numPr>
      </w:pPr>
      <w:r>
        <w:t xml:space="preserve">Final legal proofing for MCR/MCL/Benchbook match</w:t>
      </w:r>
    </w:p>
    <w:p>
      <w:pPr>
        <w:pStyle w:val="Compact"/>
        <w:numPr>
          <w:ilvl w:val="0"/>
          <w:numId w:val="1013"/>
        </w:numPr>
      </w:pPr>
      <w:r>
        <w:t xml:space="preserve">Bind exhibits and apply QR/hash chain</w:t>
      </w:r>
    </w:p>
    <w:p>
      <w:pPr>
        <w:pStyle w:val="Compact"/>
        <w:numPr>
          <w:ilvl w:val="0"/>
          <w:numId w:val="1013"/>
        </w:numPr>
      </w:pPr>
      <w:r>
        <w:t xml:space="preserve">Output DOCX + PDF versions for both print and MiFile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Status: JUDICIAL MODULES DISABLED. TARGET FOCUS SHIFTED TO CORPORATE ENTITY FRAUD AND CIVIL VIOLATION INFRASTRUCTURE.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2025-07-02T00:56:37Z</dcterms:created>
  <dcterms:modified xsi:type="dcterms:W3CDTF">2025-07-02T00:56:37Z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