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tate-of-michigan"/>
    <w:p>
      <w:pPr>
        <w:pStyle w:val="Heading2"/>
      </w:pPr>
      <w:r>
        <w:t xml:space="preserve">STATE OF MICHIGAN</w:t>
      </w:r>
    </w:p>
    <w:p>
      <w:pPr>
        <w:pStyle w:val="FirstParagraph"/>
      </w:pPr>
      <w:r>
        <w:t xml:space="preserve">IN THE CIRCUIT COURT FOR THE COUNTY OF MUSKEGON</w:t>
      </w:r>
      <w:r>
        <w:t xml:space="preserve"> </w:t>
      </w:r>
      <w:r>
        <w:t xml:space="preserve">14TH JUDICIAL CIRCUIT</w:t>
      </w:r>
    </w:p>
    <w:p>
      <w:pPr>
        <w:pStyle w:val="BodyText"/>
      </w:pPr>
      <w:r>
        <w:rPr>
          <w:b/>
          <w:bCs/>
        </w:rPr>
        <w:t xml:space="preserve">Case No. 2025-0000002760-CZ</w:t>
      </w:r>
      <w:r>
        <w:t xml:space="preserve"> </w:t>
      </w:r>
      <w:r>
        <w:rPr>
          <w:b/>
          <w:bCs/>
        </w:rPr>
        <w:t xml:space="preserve">Hon. Kenneth S. Hoopes</w:t>
      </w:r>
    </w:p>
    <w:p>
      <w:pPr>
        <w:pStyle w:val="BodyText"/>
      </w:pPr>
      <w:r>
        <w:rPr>
          <w:b/>
          <w:bCs/>
        </w:rPr>
        <w:t xml:space="preserve">ANDREW J. PIGORS,</w:t>
      </w:r>
      <w:r>
        <w:t xml:space="preserve"> </w:t>
      </w:r>
      <w:r>
        <w:t xml:space="preserve">Plaintiff,</w:t>
      </w:r>
    </w:p>
    <w:p>
      <w:pPr>
        <w:pStyle w:val="FirstParagraph"/>
      </w:pPr>
      <w:r>
        <w:rPr>
          <w:b/>
          <w:bCs/>
        </w:rPr>
        <w:t xml:space="preserve">SHADY OAKS PARK MHP LLC (Dissolved),</w:t>
      </w:r>
      <w:r>
        <w:t xml:space="preserve"> </w:t>
      </w:r>
      <w:r>
        <w:rPr>
          <w:b/>
          <w:bCs/>
        </w:rPr>
        <w:t xml:space="preserve">HOMES OF AMERICA LLC,</w:t>
      </w:r>
      <w:r>
        <w:t xml:space="preserve"> </w:t>
      </w:r>
      <w:r>
        <w:rPr>
          <w:b/>
          <w:bCs/>
        </w:rPr>
        <w:t xml:space="preserve">CRICKLEWOOD MHP LLC,</w:t>
      </w:r>
      <w:r>
        <w:t xml:space="preserve"> </w:t>
      </w:r>
      <w:r>
        <w:rPr>
          <w:b/>
          <w:bCs/>
        </w:rPr>
        <w:t xml:space="preserve">PARTRIDGE SECURITIES LLC,</w:t>
      </w:r>
      <w:r>
        <w:t xml:space="preserve"> </w:t>
      </w:r>
      <w:r>
        <w:rPr>
          <w:b/>
          <w:bCs/>
        </w:rPr>
        <w:t xml:space="preserve">CT CORPORATION SYSTEM (as Registered Agent),</w:t>
      </w:r>
      <w:r>
        <w:t xml:space="preserve"> </w:t>
      </w:r>
      <w:r>
        <w:t xml:space="preserve">Jointly and Severally,</w:t>
      </w:r>
      <w:r>
        <w:t xml:space="preserve"> </w:t>
      </w:r>
      <w:r>
        <w:t xml:space="preserve">Defendants.</w:t>
      </w:r>
    </w:p>
    <w:p>
      <w:r>
        <w:pict>
          <v:rect style="width:0;height:1.5pt" o:hralign="center" o:hrstd="t" o:hr="t"/>
        </w:pict>
      </w:r>
    </w:p>
    <w:bookmarkStart w:id="20" w:name="X49592c62b1b5c8abe903f665eddc9b7a8ed6376"/>
    <w:p>
      <w:pPr>
        <w:pStyle w:val="Heading3"/>
      </w:pPr>
      <w:r>
        <w:t xml:space="preserve">AMENDED VERIFIED COMPLAINT FOR INJUNCTIVE RELIEF, DECLARATORY JUDGMENT, DAMAGES, AND CIVIL PENALTIES</w:t>
      </w:r>
    </w:p>
    <w:p>
      <w:pPr>
        <w:pStyle w:val="FirstParagraph"/>
      </w:pPr>
      <w:r>
        <w:rPr>
          <w:b/>
          <w:bCs/>
        </w:rPr>
        <w:t xml:space="preserve">WITH INTEGRATED EMERGENCY EX PARTE MOTIONS AND PROPOSED ORDERS</w:t>
      </w:r>
    </w:p>
    <w:p>
      <w:r>
        <w:pict>
          <v:rect style="width:0;height:1.5pt" o:hralign="center" o:hrstd="t" o:hr="t"/>
        </w:pict>
      </w:r>
    </w:p>
    <w:bookmarkEnd w:id="20"/>
    <w:bookmarkStart w:id="21" w:name="i.-preliminary-statement"/>
    <w:p>
      <w:pPr>
        <w:pStyle w:val="Heading3"/>
      </w:pPr>
      <w:r>
        <w:t xml:space="preserve">I. PRELIMINARY STATEMENT</w:t>
      </w:r>
    </w:p>
    <w:p>
      <w:pPr>
        <w:pStyle w:val="FirstParagraph"/>
      </w:pPr>
      <w:r>
        <w:t xml:space="preserve">This is an emergency civil action brought by Plaintiff ANDREW J. PIGORS against a dissolved and defunct mobile home park LLC and its successor entities for continuing to operate under a legally extinguished identity while knowingly engaging in unlawful eviction attempts, coercive rent and lease manipulation, billing fraud, and retaliation. Plaintiff seeks declaratory, injunctive, monetary, and equitable relief, and respectfully demands immediate ex parte intervention to prevent irreparable harm, preserve his rights, and halt any further abuse of the judicial system by fictitious entities. This action integrates factual, legal, and documentary proof to demonstrate both a pattern and mechanism of post-dissolution misconduct with the intent to mislead tenants and courts alike.</w:t>
      </w:r>
    </w:p>
    <w:p>
      <w:r>
        <w:pict>
          <v:rect style="width:0;height:1.5pt" o:hralign="center" o:hrstd="t" o:hr="t"/>
        </w:pict>
      </w:r>
    </w:p>
    <w:bookmarkEnd w:id="21"/>
    <w:bookmarkStart w:id="22" w:name="ii.-jurisdiction-and-venue"/>
    <w:p>
      <w:pPr>
        <w:pStyle w:val="Heading3"/>
      </w:pPr>
      <w:r>
        <w:t xml:space="preserve">II. JURISDICTION AND VENUE</w:t>
      </w:r>
    </w:p>
    <w:p>
      <w:pPr>
        <w:numPr>
          <w:ilvl w:val="0"/>
          <w:numId w:val="1002"/>
        </w:numPr>
      </w:pPr>
      <w:r>
        <w:t xml:space="preserve">This Court has subject matter jurisdiction under</w:t>
      </w:r>
      <w:r>
        <w:t xml:space="preserve"> </w:t>
      </w:r>
      <w:r>
        <w:rPr>
          <w:b/>
          <w:bCs/>
        </w:rPr>
        <w:t xml:space="preserve">MCL 600.605</w:t>
      </w:r>
      <w:r>
        <w:t xml:space="preserve">,</w:t>
      </w:r>
      <w:r>
        <w:t xml:space="preserve"> </w:t>
      </w:r>
      <w:r>
        <w:rPr>
          <w:b/>
          <w:bCs/>
        </w:rPr>
        <w:t xml:space="preserve">MCL 600.2932</w:t>
      </w:r>
      <w:r>
        <w:t xml:space="preserve">, and</w:t>
      </w:r>
      <w:r>
        <w:t xml:space="preserve"> </w:t>
      </w:r>
      <w:r>
        <w:rPr>
          <w:b/>
          <w:bCs/>
        </w:rPr>
        <w:t xml:space="preserve">MCR 3.310</w:t>
      </w:r>
      <w:r>
        <w:t xml:space="preserve">, as Plaintiff seeks declaratory and injunctive relief concerning property rights and post-dissolution corporate conduct.</w:t>
      </w:r>
    </w:p>
    <w:p>
      <w:pPr>
        <w:numPr>
          <w:ilvl w:val="0"/>
          <w:numId w:val="1002"/>
        </w:numPr>
      </w:pPr>
      <w:r>
        <w:t xml:space="preserve">Venue is proper under</w:t>
      </w:r>
      <w:r>
        <w:t xml:space="preserve"> </w:t>
      </w:r>
      <w:r>
        <w:rPr>
          <w:b/>
          <w:bCs/>
        </w:rPr>
        <w:t xml:space="preserve">MCL 600.1621(a)</w:t>
      </w:r>
      <w:r>
        <w:t xml:space="preserve"> </w:t>
      </w:r>
      <w:r>
        <w:t xml:space="preserve">and</w:t>
      </w:r>
      <w:r>
        <w:t xml:space="preserve"> </w:t>
      </w:r>
      <w:r>
        <w:rPr>
          <w:b/>
          <w:bCs/>
        </w:rPr>
        <w:t xml:space="preserve">MCR 2.227(A)</w:t>
      </w:r>
      <w:r>
        <w:t xml:space="preserve">, as all events occurred in Muskegon County and the property at issue is situated therein.</w:t>
      </w:r>
    </w:p>
    <w:p>
      <w:pPr>
        <w:numPr>
          <w:ilvl w:val="0"/>
          <w:numId w:val="1002"/>
        </w:numPr>
      </w:pPr>
      <w:r>
        <w:t xml:space="preserve">This Court has ancillary jurisdiction over emergency motions and post-judgment proceedings to void unlawful judgments under</w:t>
      </w:r>
      <w:r>
        <w:t xml:space="preserve"> </w:t>
      </w:r>
      <w:r>
        <w:rPr>
          <w:b/>
          <w:bCs/>
        </w:rPr>
        <w:t xml:space="preserve">MCR 2.612(C)</w:t>
      </w:r>
      <w:r>
        <w:t xml:space="preserve"> </w:t>
      </w:r>
      <w:r>
        <w:t xml:space="preserve">and issue declaratory orders per</w:t>
      </w:r>
      <w:r>
        <w:t xml:space="preserve"> </w:t>
      </w:r>
      <w:r>
        <w:rPr>
          <w:b/>
          <w:bCs/>
        </w:rPr>
        <w:t xml:space="preserve">MCR 2.605</w:t>
      </w:r>
      <w:r>
        <w:t xml:space="preserve">.</w:t>
      </w:r>
    </w:p>
    <w:p>
      <w:r>
        <w:pict>
          <v:rect style="width:0;height:1.5pt" o:hralign="center" o:hrstd="t" o:hr="t"/>
        </w:pict>
      </w:r>
    </w:p>
    <w:bookmarkEnd w:id="22"/>
    <w:bookmarkStart w:id="23" w:name="iii.-parties"/>
    <w:p>
      <w:pPr>
        <w:pStyle w:val="Heading3"/>
      </w:pPr>
      <w:r>
        <w:t xml:space="preserve">III. PARTIES</w:t>
      </w:r>
    </w:p>
    <w:p>
      <w:pPr>
        <w:numPr>
          <w:ilvl w:val="0"/>
          <w:numId w:val="1003"/>
        </w:numPr>
      </w:pPr>
      <w:r>
        <w:rPr>
          <w:b/>
          <w:bCs/>
        </w:rPr>
        <w:t xml:space="preserve">Plaintiff Andrew J. Pigors</w:t>
      </w:r>
      <w:r>
        <w:t xml:space="preserve"> </w:t>
      </w:r>
      <w:r>
        <w:t xml:space="preserve">is an individual residing at 1977 Whitehall Rd, Lot 17, Muskegon, MI 49445. He is a tenant in lawful possession of the lot at issue and has suffered ongoing harm due to Defendants’ unlawful actions.</w:t>
      </w:r>
    </w:p>
    <w:p>
      <w:pPr>
        <w:numPr>
          <w:ilvl w:val="0"/>
          <w:numId w:val="1003"/>
        </w:numPr>
      </w:pPr>
      <w:r>
        <w:rPr>
          <w:b/>
          <w:bCs/>
        </w:rPr>
        <w:t xml:space="preserve">Defendant Shady Oaks Park MHP LLC</w:t>
      </w:r>
      <w:r>
        <w:t xml:space="preserve"> </w:t>
      </w:r>
      <w:r>
        <w:t xml:space="preserve">is a Michigan domestic limited liability company that was administratively</w:t>
      </w:r>
      <w:r>
        <w:t xml:space="preserve"> </w:t>
      </w:r>
      <w:r>
        <w:rPr>
          <w:b/>
          <w:bCs/>
        </w:rPr>
        <w:t xml:space="preserve">dissolved on February 15, 2023</w:t>
      </w:r>
      <w:r>
        <w:t xml:space="preserve">, per the Michigan Department of Licensing and Regulatory Affairs (LARA). It lacks the legal capacity to conduct business or file litigation.</w:t>
      </w:r>
    </w:p>
    <w:p>
      <w:pPr>
        <w:numPr>
          <w:ilvl w:val="0"/>
          <w:numId w:val="1003"/>
        </w:numPr>
      </w:pPr>
      <w:r>
        <w:rPr>
          <w:b/>
          <w:bCs/>
        </w:rPr>
        <w:t xml:space="preserve">Defendant Homes of America LLC</w:t>
      </w:r>
      <w:r>
        <w:t xml:space="preserve"> </w:t>
      </w:r>
      <w:r>
        <w:t xml:space="preserve">is the controlling parent company of Shady Oaks Park MHP LLC and operates the park through agents and successors, continuing to collect rent and pursue evictions under the defunct entity’s name.</w:t>
      </w:r>
    </w:p>
    <w:p>
      <w:pPr>
        <w:numPr>
          <w:ilvl w:val="0"/>
          <w:numId w:val="1003"/>
        </w:numPr>
      </w:pPr>
      <w:r>
        <w:rPr>
          <w:b/>
          <w:bCs/>
        </w:rPr>
        <w:t xml:space="preserve">Defendant Cricklewood MHP LLC</w:t>
      </w:r>
      <w:r>
        <w:t xml:space="preserve"> </w:t>
      </w:r>
      <w:r>
        <w:t xml:space="preserve">acted as an arm of coercion, forcing Plaintiff to sign a new lease under pressure at a remote location 30 miles away from the property.</w:t>
      </w:r>
    </w:p>
    <w:p>
      <w:pPr>
        <w:numPr>
          <w:ilvl w:val="0"/>
          <w:numId w:val="1003"/>
        </w:numPr>
      </w:pPr>
      <w:r>
        <w:rPr>
          <w:b/>
          <w:bCs/>
        </w:rPr>
        <w:t xml:space="preserve">Defendant Partridge Securities LLC</w:t>
      </w:r>
      <w:r>
        <w:t xml:space="preserve"> </w:t>
      </w:r>
      <w:r>
        <w:t xml:space="preserve">is a related holding company or financial affiliate operating in tandem with the above entities to administer leases and extract rent and fees.</w:t>
      </w:r>
    </w:p>
    <w:p>
      <w:pPr>
        <w:numPr>
          <w:ilvl w:val="0"/>
          <w:numId w:val="1003"/>
        </w:numPr>
      </w:pPr>
      <w:r>
        <w:rPr>
          <w:b/>
          <w:bCs/>
        </w:rPr>
        <w:t xml:space="preserve">Defendant CT Corporation System</w:t>
      </w:r>
      <w:r>
        <w:t xml:space="preserve"> </w:t>
      </w:r>
      <w:r>
        <w:t xml:space="preserve">is the registered agent listed for the above entities and has failed to maintain accurate service and contact records, resulting in delayed or obstructed service.</w:t>
      </w:r>
    </w:p>
    <w:p>
      <w:pPr>
        <w:pStyle w:val="FirstParagraph"/>
      </w:pPr>
      <w:r>
        <w:t xml:space="preserve">All Defendants acted jointly and severally in a concerted course of conduct to conceal dissolution, continue operations unlawfully, misrepresent corporate status to the court, and inflict irreparable harm on Plaintiff.</w:t>
      </w:r>
    </w:p>
    <w:p>
      <w:r>
        <w:pict>
          <v:rect style="width:0;height:1.5pt" o:hralign="center" o:hrstd="t" o:hr="t"/>
        </w:pict>
      </w:r>
    </w:p>
    <w:bookmarkEnd w:id="23"/>
    <w:bookmarkStart w:id="24" w:name="iv.-factual-allegations"/>
    <w:p>
      <w:pPr>
        <w:pStyle w:val="Heading3"/>
      </w:pPr>
      <w:r>
        <w:t xml:space="preserve">IV. FACTUAL ALLEGATIONS</w:t>
      </w:r>
    </w:p>
    <w:p>
      <w:pPr>
        <w:numPr>
          <w:ilvl w:val="0"/>
          <w:numId w:val="1004"/>
        </w:numPr>
      </w:pPr>
      <w:r>
        <w:t xml:space="preserve">On or about</w:t>
      </w:r>
      <w:r>
        <w:t xml:space="preserve"> </w:t>
      </w:r>
      <w:r>
        <w:rPr>
          <w:b/>
          <w:bCs/>
        </w:rPr>
        <w:t xml:space="preserve">December 1, 2023</w:t>
      </w:r>
      <w:r>
        <w:t xml:space="preserve">, Plaintiff took possession of Lot 17 at 1977 Whitehall Rd, Muskegon, MI, paying $395 monthly lot rent under the understanding that Shady Oaks Park MHP LLC was the legal landlord.</w:t>
      </w:r>
    </w:p>
    <w:p>
      <w:pPr>
        <w:numPr>
          <w:ilvl w:val="0"/>
          <w:numId w:val="1004"/>
        </w:numPr>
      </w:pPr>
      <w:r>
        <w:t xml:space="preserve">Unknown to Plaintiff at the time, Shady Oaks Park MHP LLC had already been</w:t>
      </w:r>
      <w:r>
        <w:t xml:space="preserve"> </w:t>
      </w:r>
      <w:r>
        <w:rPr>
          <w:b/>
          <w:bCs/>
        </w:rPr>
        <w:t xml:space="preserve">administratively dissolved on February 15, 2023</w:t>
      </w:r>
      <w:r>
        <w:t xml:space="preserve">, rendering all post-dissolution actions by that entity—including rent collection and eviction attempts—void ab initio.</w:t>
      </w:r>
    </w:p>
    <w:p>
      <w:pPr>
        <w:numPr>
          <w:ilvl w:val="0"/>
          <w:numId w:val="1004"/>
        </w:numPr>
      </w:pPr>
      <w:r>
        <w:t xml:space="preserve">In</w:t>
      </w:r>
      <w:r>
        <w:t xml:space="preserve"> </w:t>
      </w:r>
      <w:r>
        <w:rPr>
          <w:b/>
          <w:bCs/>
        </w:rPr>
        <w:t xml:space="preserve">March 2024</w:t>
      </w:r>
      <w:r>
        <w:t xml:space="preserve">, Plaintiff was coerced into signing a lease at Cricklewood MHP LLC’s office in Ravenna, Michigan, approximately 35 minutes from the leased premises. This lease was presented as mandatory, under threat of eviction or forced sale of Plaintiff’s mobile home. Plaintiff was told by park representatives that refusal would result in homelessness.</w:t>
      </w:r>
    </w:p>
    <w:p>
      <w:pPr>
        <w:numPr>
          <w:ilvl w:val="0"/>
          <w:numId w:val="1004"/>
        </w:numPr>
      </w:pPr>
      <w:r>
        <w:t xml:space="preserve">In</w:t>
      </w:r>
      <w:r>
        <w:t xml:space="preserve"> </w:t>
      </w:r>
      <w:r>
        <w:rPr>
          <w:b/>
          <w:bCs/>
        </w:rPr>
        <w:t xml:space="preserve">April 2024</w:t>
      </w:r>
      <w:r>
        <w:t xml:space="preserve">, Plaintiff began experiencing extreme billing irregularities, including unexplained rent increases, administrative fees, and water/sewer charges that were inconsistent with actual usage. Despite Plaintiff’s documented watering of his yard and use of an outdoor line for his son’s activities, the water and sewer billing reflected</w:t>
      </w:r>
      <w:r>
        <w:t xml:space="preserve"> </w:t>
      </w:r>
      <w:r>
        <w:rPr>
          <w:b/>
          <w:bCs/>
        </w:rPr>
        <w:t xml:space="preserve">identical usage totals</w:t>
      </w:r>
      <w:r>
        <w:t xml:space="preserve">, month after month—suggesting falsified data or systemic overbilling.</w:t>
      </w:r>
    </w:p>
    <w:p>
      <w:pPr>
        <w:numPr>
          <w:ilvl w:val="0"/>
          <w:numId w:val="1004"/>
        </w:numPr>
      </w:pPr>
      <w:r>
        <w:t xml:space="preserve">In</w:t>
      </w:r>
      <w:r>
        <w:t xml:space="preserve"> </w:t>
      </w:r>
      <w:r>
        <w:rPr>
          <w:b/>
          <w:bCs/>
        </w:rPr>
        <w:t xml:space="preserve">May 2025</w:t>
      </w:r>
      <w:r>
        <w:t xml:space="preserve">, Defendants</w:t>
      </w:r>
      <w:r>
        <w:t xml:space="preserve"> </w:t>
      </w:r>
      <w:r>
        <w:rPr>
          <w:b/>
          <w:bCs/>
        </w:rPr>
        <w:t xml:space="preserve">shut off Plaintiff’s water without notice</w:t>
      </w:r>
      <w:r>
        <w:t xml:space="preserve"> </w:t>
      </w:r>
      <w:r>
        <w:t xml:space="preserve">while Plaintiff’s minor child was present, creating a direct health and safety hazard. This occurred during ongoing sewage leaks already reported to the Michigan Department of Environment, Great Lakes, and Energy (EGLE).</w:t>
      </w:r>
    </w:p>
    <w:p>
      <w:pPr>
        <w:numPr>
          <w:ilvl w:val="0"/>
          <w:numId w:val="1004"/>
        </w:numPr>
      </w:pPr>
      <w:r>
        <w:t xml:space="preserve">Despite Plaintiff’s rent being fully paid through</w:t>
      </w:r>
      <w:r>
        <w:t xml:space="preserve"> </w:t>
      </w:r>
      <w:r>
        <w:rPr>
          <w:b/>
          <w:bCs/>
        </w:rPr>
        <w:t xml:space="preserve">December 2024</w:t>
      </w:r>
      <w:r>
        <w:t xml:space="preserve"> </w:t>
      </w:r>
      <w:r>
        <w:t xml:space="preserve">via payments from</w:t>
      </w:r>
      <w:r>
        <w:t xml:space="preserve"> </w:t>
      </w:r>
      <w:r>
        <w:rPr>
          <w:b/>
          <w:bCs/>
        </w:rPr>
        <w:t xml:space="preserve">Karen Rettig</w:t>
      </w:r>
      <w:r>
        <w:t xml:space="preserve">,</w:t>
      </w:r>
      <w:r>
        <w:t xml:space="preserve"> </w:t>
      </w:r>
      <w:r>
        <w:rPr>
          <w:b/>
          <w:bCs/>
        </w:rPr>
        <w:t xml:space="preserve">MDHHS</w:t>
      </w:r>
      <w:r>
        <w:t xml:space="preserve">, and</w:t>
      </w:r>
      <w:r>
        <w:t xml:space="preserve"> </w:t>
      </w:r>
      <w:r>
        <w:rPr>
          <w:b/>
          <w:bCs/>
        </w:rPr>
        <w:t xml:space="preserve">True North</w:t>
      </w:r>
      <w:r>
        <w:t xml:space="preserve">, Defendants continued to pursue eviction and refused to acknowledge receipt of those payments until late August 2024, by which point charges and interest had been artificially inflated.</w:t>
      </w:r>
    </w:p>
    <w:p>
      <w:pPr>
        <w:numPr>
          <w:ilvl w:val="0"/>
          <w:numId w:val="1004"/>
        </w:numPr>
      </w:pPr>
      <w:r>
        <w:t xml:space="preserve">On multiple occasions, Plaintiff attempted to serve court documents on park management, only to be told he was</w:t>
      </w:r>
      <w:r>
        <w:t xml:space="preserve"> </w:t>
      </w:r>
      <w:r>
        <w:t xml:space="preserve">“not allowed”</w:t>
      </w:r>
      <w:r>
        <w:t xml:space="preserve"> </w:t>
      </w:r>
      <w:r>
        <w:t xml:space="preserve">to serve them. Staff obstructed service and refused to identify appropriate agents. CT Corporation returned mail undelivered and failed to confirm active representation of the entities involved.</w:t>
      </w:r>
    </w:p>
    <w:p>
      <w:pPr>
        <w:numPr>
          <w:ilvl w:val="0"/>
          <w:numId w:val="1004"/>
        </w:numPr>
      </w:pPr>
      <w:r>
        <w:t xml:space="preserve">Plaintiff lost his employment at the U.S. Postal Service as a direct result of constant hearings, court filings, and retaliatory litigation pressures from Defendants. These events caused extreme emotional distress, financial hardship, and harm to Plaintiff’s custody and parental credibility.</w:t>
      </w:r>
    </w:p>
    <w:p>
      <w:pPr>
        <w:numPr>
          <w:ilvl w:val="0"/>
          <w:numId w:val="1004"/>
        </w:numPr>
      </w:pPr>
      <w:r>
        <w:t xml:space="preserve">As of the filing of this Complaint, Defendants continue to use the name</w:t>
      </w:r>
      <w:r>
        <w:t xml:space="preserve"> </w:t>
      </w:r>
      <w:r>
        <w:t xml:space="preserve">“Shady Oaks Park MHP LLC”</w:t>
      </w:r>
      <w:r>
        <w:t xml:space="preserve"> </w:t>
      </w:r>
      <w:r>
        <w:t xml:space="preserve">in 60th District Court (Case No. 2025-25061626LT-LT), despite full knowledge of the entity’s dissolution and the fraudulent nature of their filings.</w:t>
      </w:r>
    </w:p>
    <w:p>
      <w:r>
        <w:pict>
          <v:rect style="width:0;height:1.5pt" o:hralign="center" o:hrstd="t" o:hr="t"/>
        </w:pict>
      </w:r>
    </w:p>
    <w:p>
      <w:pPr>
        <w:pStyle w:val="FirstParagraph"/>
      </w:pPr>
      <w:r>
        <w:t xml:space="preserve">[Next: Section V – Counts I–XII — streaming each claim with exhibit links and legal citations.]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2025-07-02T11:39:00Z</dcterms:created>
  <dcterms:modified xsi:type="dcterms:W3CDTF">2025-07-02T11:39:00Z</dcterms:modified>
</cp:coreProperties>
</file>

<file path=docProps/custom.xml><?xml version="1.0" encoding="utf-8"?>
<Properties xmlns="http://schemas.openxmlformats.org/officeDocument/2006/custom-properties" xmlns:vt="http://schemas.openxmlformats.org/officeDocument/2006/docPropsVTypes"/>
</file>