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CUSTODY HARM NARRATIVE BRIEF</w:t>
      </w:r>
    </w:p>
    <w:p>
      <w:pPr/>
      <w:r>
        <w:rPr>
          <w:b/>
        </w:rPr>
        <w:t>STATE OF MICHIGAN</w:t>
        <w:br/>
        <w:t>IN THE 14TH CIRCUIT COURT FOR THE COUNTY OF MUSKEGON</w:t>
      </w:r>
    </w:p>
    <w:p>
      <w:pPr/>
      <w:r>
        <w:t>Case No. 2025-0000002760-CZ</w:t>
        <w:br/>
        <w:t>Hon. Kenneth S. Hoopes</w:t>
      </w:r>
    </w:p>
    <w:p>
      <w:r>
        <w:t>Plaintiff, ANDREW J. PIGORS, submits this narrative to the 14th Circuit Family Division to show how unlawful housing conditions, entity fraud, and retaliation by Shady Oaks and Homes of America directly impaired his ability to maintain stable housing and exercise lawful parental rights:</w:t>
      </w:r>
    </w:p>
    <w:p>
      <w:r>
        <w:t>1. From March 2024 onward, Plaintiff was subjected to rent coercion and retaliatory actions, culminating in overbilling, water shutoffs, and a complete loss of housing security.</w:t>
      </w:r>
    </w:p>
    <w:p>
      <w:r>
        <w:t>2. These events took place while a custody matter was active, and deprived Plaintiff of the ability to provide a consistent home for his son.</w:t>
      </w:r>
    </w:p>
    <w:p>
      <w:r>
        <w:t>3. The landlord’s refusal to honor third-party payments, provide ledgers, or acknowledge repairs directly resulted in judicial perceptions of instability and undermined Plaintiff’s parenting time.</w:t>
      </w:r>
    </w:p>
    <w:p>
      <w:r>
        <w:t>4. These harms are not merely financial—they have materially affected Plaintiff’s bond with his child, causing estrangement, loss of time, and legal disadvantage.</w:t>
      </w:r>
    </w:p>
    <w:p>
      <w:r>
        <w:t>This brief is offered in support of motions to modify custody, for injunctive relief, and as a factual record of housing-related custodial interference.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