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STATE OF MICHIGAN</w:t>
      </w:r>
    </w:p>
    <w:p>
      <w:r>
        <w:t>IN THE 14TH JUDICIAL CIRCUIT COURT</w:t>
      </w:r>
    </w:p>
    <w:p>
      <w:r>
        <w:t>MUSKEGON COUNTY – FAMILY DIVISION</w:t>
      </w:r>
    </w:p>
    <w:p/>
    <w:p>
      <w:r>
        <w:t>ANDREW PIGORS,</w:t>
      </w:r>
    </w:p>
    <w:p>
      <w:r>
        <w:t>Plaintiff,</w:t>
      </w:r>
    </w:p>
    <w:p>
      <w:r>
        <w:t>v.</w:t>
      </w:r>
    </w:p>
    <w:p>
      <w:r>
        <w:t>EMILY WATSON,</w:t>
      </w:r>
    </w:p>
    <w:p>
      <w:r>
        <w:t>Defendant.</w:t>
      </w:r>
    </w:p>
    <w:p>
      <w:r>
        <w:t>Case No. 2024-001507-DC</w:t>
      </w:r>
    </w:p>
    <w:p>
      <w:r>
        <w:t>Hon. Jenny L. McNeill</w:t>
      </w:r>
    </w:p>
    <w:p/>
    <w:p>
      <w:r>
        <w:t>MOTION FOR ORDER TO SHOW CAUSE – CIVIL CONTEMPT</w:t>
      </w:r>
    </w:p>
    <w:p/>
    <w:p>
      <w:r>
        <w:t>NOW COMES Plaintiff, Andrew Pigors, in pro per, and respectfully moves this Honorable Court to issue an Order to Show Cause why Defendant Emily Watson should not be held in civil contempt of court for her repeated and ongoing violations of lawful custody and parenting time orders, as well as interference with court-mandated support, pursuant to MCR 3.606 and MCL 600.1701.</w:t>
      </w:r>
    </w:p>
    <w:p/>
    <w:p>
      <w:r>
        <w:t>FACTUAL ALLEGATIONS:</w:t>
      </w:r>
    </w:p>
    <w:p/>
    <w:p>
      <w:r>
        <w:t>1. On multiple occasions including March 26–May 5, 2024, and again beginning April 6, 2025 to present, Defendant has denied Plaintiff his court-ordered parenting time.</w:t>
      </w:r>
    </w:p>
    <w:p>
      <w:r>
        <w:t>2. On or about April 2, 2025, Defendant explicitly stated: “I will not facilitate makeup time,” in direct violation of the parenting time enforcement provisions in MCL 722.27a(9).</w:t>
      </w:r>
    </w:p>
    <w:p>
      <w:r>
        <w:t>3. Defendant has obstructed communication through AppClose, failing to respond, blocking access, and refusing to coordinate necessary parenting exchanges or updates.</w:t>
      </w:r>
    </w:p>
    <w:p>
      <w:r>
        <w:t>4. Defendant has used third parties including Lori Watson and Cody Watson to interfere with custody exchanges, escalate conflict, and intimidate Plaintiff, thereby violating the spirit and letter of the Court’s orders.</w:t>
      </w:r>
    </w:p>
    <w:p>
      <w:r>
        <w:t>5. Defendant has withheld essential items from the child, including his blankets, toys, and clothing, to frustrate and disrupt parenting time exchanges.</w:t>
      </w:r>
    </w:p>
    <w:p>
      <w:r>
        <w:t>6. Defendant has refused to provide Plaintiff with medical or dental records for the child, despite numerous requests, and no documented medical visits have occurred since May 2023.</w:t>
      </w:r>
    </w:p>
    <w:p>
      <w:r>
        <w:t>7. Defendant’s actions are in direct violation of MCL 722.27a(9), the parenting time order entered by this Court, and violate the mandate that no party shall diminish the love and affection of the child for the other parent.</w:t>
      </w:r>
    </w:p>
    <w:p/>
    <w:p>
      <w:r>
        <w:t>WHEREFORE, Plaintiff respectfully requests this Court:</w:t>
      </w:r>
    </w:p>
    <w:p/>
    <w:p>
      <w:r>
        <w:t>A. Issue an Order to Show Cause requiring Defendant to appear and explain why she should not be held in contempt;</w:t>
      </w:r>
    </w:p>
    <w:p>
      <w:r>
        <w:t>B. Enter an Order imposing sanctions including attorney fees, compensatory parenting time, and suspension of Defendant’s primary custody pending review;</w:t>
      </w:r>
    </w:p>
    <w:p>
      <w:r>
        <w:t>C. Schedule an evidentiary hearing for the same;</w:t>
      </w:r>
    </w:p>
    <w:p>
      <w:r>
        <w:t>D. Grant any other relief this Court deems just and equitable.</w:t>
      </w:r>
    </w:p>
    <w:p/>
    <w:p>
      <w:r>
        <w:t>Respectfully submitted,</w:t>
      </w:r>
    </w:p>
    <w:p/>
    <w:p>
      <w:r>
        <w:t>/s/ Andrew Pigors</w:t>
      </w:r>
    </w:p>
    <w:p>
      <w:r>
        <w:t>Plaintiff, In Pro Per</w:t>
      </w:r>
    </w:p>
    <w:p>
      <w:r>
        <w:t>1977 Whitehall Rd., Lot 17</w:t>
      </w:r>
    </w:p>
    <w:p>
      <w:r>
        <w:t>Muskegon, MI 49445</w:t>
      </w:r>
    </w:p>
    <w:p>
      <w:r>
        <w:t>(231) 724-6251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