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Proposed Order — Emergency Relief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>Supreme Court of Michigan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In re: Petition of Andrew J. Pigors for extraordinary relief concerning Pigors v. Watson (Muskegon County 14th Circuit Court, Case No. 24-01507-DC).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Date: 2025-10-29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Upon consideration of Petitioner Andrew J. Pigors’s emergency filing and supporting exhibits (pin-cited to the consolidated JTC/MSC Binder v5), and in light of the governing standards under MCL 722.27a; MCR 3.207; MCR 2.517; and Canons 2 &amp; 3(A)(4), the Court orders as follows: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The August 2025 ex parte suspension of parenting time is VACATED forthwith.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The Muskegon County 14th Circuit Court shall convene an evidentiary hearing within 14 days and enter MCR 2.517(A)–compliant, child-specific findings; any restriction of parenting time must be supported by clear, record-based findings of harm consistent with MCL 722.27a.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The lower court shall implement equal, rule-bound exhibit and media intake procedures for both parties; no ex parte receipt, review, or pre‑listening of media by court staff is permitted, consistent with Canon 2 and Canon 3(A)(4).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Make‑up parenting time is ORDERED sufficient to restore the status quo ante and mitigate lost contact resulting from the ex parte suspension; the schedule shall be set at the evidentiary hearing, or immediately if undisputed.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5. The lower court shall exclude unauthenticated hearsay and require proper foundation under MRE 401/403/802/901.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6. This Court retains jurisdiction to ensure compliance with this Order.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br/>
        <w:t>IT IS SO ORDERED.</w:t>
        <w:br/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Justice, Supreme Court of Michigan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