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480" w:lineRule="auto"/>
        <w:jc w:val="center"/>
      </w:pPr>
      <w:r>
        <w:rPr>
          <w:rFonts w:ascii="Times New Roman" w:hAnsi="Times New Roman"/>
          <w:b/>
          <w:i w:val="0"/>
          <w:sz w:val="26"/>
          <w:u w:val="none"/>
        </w:rPr>
        <w:t>STATE OF MICHIGAN</w:t>
      </w:r>
    </w:p>
    <w:p>
      <w:pPr>
        <w:spacing w:after="0" w:before="0" w:line="480" w:lineRule="auto"/>
        <w:jc w:val="center"/>
      </w:pPr>
      <w:r>
        <w:rPr>
          <w:rFonts w:ascii="Times New Roman" w:hAnsi="Times New Roman"/>
          <w:b/>
          <w:i w:val="0"/>
          <w:sz w:val="26"/>
          <w:u w:val="none"/>
        </w:rPr>
        <w:t>IN THE SUPREME COURT</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ind w:firstLine="720"/>
        <w:jc w:val="left"/>
      </w:pPr>
      <w:r>
        <w:rPr>
          <w:rFonts w:ascii="Times New Roman" w:hAnsi="Times New Roman"/>
          <w:b/>
          <w:i w:val="0"/>
          <w:sz w:val="24"/>
          <w:u w:val="none"/>
        </w:rPr>
        <w:t>ANDREW PIGORS,</w:t>
      </w:r>
    </w:p>
    <w:p>
      <w:pPr>
        <w:spacing w:after="0" w:before="0" w:line="480" w:lineRule="auto"/>
        <w:ind w:firstLine="720"/>
        <w:jc w:val="left"/>
      </w:pPr>
      <w:r>
        <w:rPr>
          <w:rFonts w:ascii="Times New Roman" w:hAnsi="Times New Roman"/>
          <w:b w:val="0"/>
          <w:i w:val="0"/>
          <w:sz w:val="24"/>
          <w:u w:val="none"/>
        </w:rPr>
        <w:t>Plaintiff-Appellant / Petitioner,</w:t>
      </w:r>
    </w:p>
    <w:p>
      <w:pPr>
        <w:spacing w:after="0" w:before="0" w:line="480" w:lineRule="auto"/>
        <w:ind w:firstLine="720"/>
        <w:jc w:val="left"/>
      </w:pPr>
      <w:r>
        <w:rPr>
          <w:rFonts w:ascii="Times New Roman" w:hAnsi="Times New Roman"/>
          <w:b w:val="0"/>
          <w:i w:val="0"/>
          <w:sz w:val="24"/>
          <w:u w:val="none"/>
        </w:rPr>
        <w:t>v.</w:t>
      </w:r>
    </w:p>
    <w:p>
      <w:pPr>
        <w:spacing w:after="0" w:before="0" w:line="480" w:lineRule="auto"/>
        <w:ind w:firstLine="720"/>
        <w:jc w:val="left"/>
      </w:pPr>
      <w:r>
        <w:rPr>
          <w:rFonts w:ascii="Times New Roman" w:hAnsi="Times New Roman"/>
          <w:b/>
          <w:i w:val="0"/>
          <w:sz w:val="24"/>
          <w:u w:val="none"/>
        </w:rPr>
        <w:t>No. ____________</w:t>
      </w:r>
    </w:p>
    <w:p>
      <w:pPr>
        <w:spacing w:after="0" w:before="0" w:line="480" w:lineRule="auto"/>
        <w:ind w:firstLine="720"/>
        <w:jc w:val="left"/>
      </w:pPr>
      <w:r>
        <w:rPr>
          <w:rFonts w:ascii="Times New Roman" w:hAnsi="Times New Roman"/>
          <w:b/>
          <w:i w:val="0"/>
          <w:sz w:val="24"/>
          <w:u w:val="none"/>
        </w:rPr>
        <w:t>14th Circuit Court No. 2024-001507-DC</w:t>
      </w:r>
    </w:p>
    <w:p>
      <w:pPr>
        <w:spacing w:after="0" w:before="0" w:line="480" w:lineRule="auto"/>
        <w:ind w:firstLine="720"/>
        <w:jc w:val="left"/>
      </w:pPr>
      <w:r>
        <w:rPr>
          <w:rFonts w:ascii="Times New Roman" w:hAnsi="Times New Roman"/>
          <w:b/>
          <w:i w:val="0"/>
          <w:sz w:val="24"/>
          <w:u w:val="none"/>
        </w:rPr>
        <w:t>Court of Appeals No. 366810</w:t>
      </w:r>
    </w:p>
    <w:p>
      <w:pPr>
        <w:spacing w:after="0" w:before="0" w:line="480" w:lineRule="auto"/>
        <w:ind w:firstLine="720"/>
        <w:jc w:val="left"/>
      </w:pPr>
      <w:r>
        <w:rPr>
          <w:rFonts w:ascii="Times New Roman" w:hAnsi="Times New Roman"/>
          <w:b/>
          <w:i w:val="0"/>
          <w:sz w:val="24"/>
          <w:u w:val="none"/>
        </w:rPr>
        <w:t>TIFFANY WATSON,</w:t>
      </w:r>
    </w:p>
    <w:p>
      <w:pPr>
        <w:spacing w:after="0" w:before="0" w:line="480" w:lineRule="auto"/>
        <w:ind w:firstLine="720"/>
        <w:jc w:val="left"/>
      </w:pPr>
      <w:r>
        <w:rPr>
          <w:rFonts w:ascii="Times New Roman" w:hAnsi="Times New Roman"/>
          <w:b w:val="0"/>
          <w:i w:val="0"/>
          <w:sz w:val="24"/>
          <w:u w:val="none"/>
        </w:rPr>
        <w:t>Defendant-Appellee / Respondent.</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ind w:firstLine="720"/>
        <w:jc w:val="left"/>
      </w:pPr>
      <w:r>
        <w:rPr>
          <w:rFonts w:ascii="Times New Roman" w:hAnsi="Times New Roman"/>
          <w:b/>
          <w:i w:val="0"/>
          <w:sz w:val="24"/>
          <w:u w:val="none"/>
        </w:rPr>
        <w:t>Hon. Jenny L. McNeill (14th Circuit)</w:t>
      </w:r>
    </w:p>
    <w:p>
      <w:pPr>
        <w:spacing w:after="0" w:before="0" w:line="480" w:lineRule="auto"/>
        <w:ind w:firstLine="720"/>
        <w:jc w:val="left"/>
      </w:pPr>
      <w:r>
        <w:rPr>
          <w:rFonts w:ascii="Times New Roman" w:hAnsi="Times New Roman"/>
          <w:b/>
          <w:i w:val="0"/>
          <w:sz w:val="24"/>
          <w:u w:val="none"/>
        </w:rPr>
        <w:t>COA Panel: TBD</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6"/>
          <w:u w:val="none"/>
        </w:rPr>
        <w:t>EMERGENCY APPLICATION FOR IMMEDIATE CONSIDERATION</w:t>
      </w:r>
    </w:p>
    <w:p>
      <w:pPr>
        <w:spacing w:after="0" w:before="0" w:line="480" w:lineRule="auto"/>
        <w:jc w:val="center"/>
      </w:pPr>
      <w:r>
        <w:rPr>
          <w:rFonts w:ascii="Times New Roman" w:hAnsi="Times New Roman"/>
          <w:b/>
          <w:i w:val="0"/>
          <w:sz w:val="24"/>
          <w:u w:val="none"/>
        </w:rPr>
        <w:t>PURSUANT TO MCR 7.305(F) AND MCR 7.315(C)</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ind w:firstLine="720"/>
        <w:jc w:val="left"/>
      </w:pPr>
      <w:r>
        <w:rPr>
          <w:rFonts w:ascii="Times New Roman" w:hAnsi="Times New Roman"/>
          <w:b/>
          <w:i w:val="0"/>
          <w:sz w:val="24"/>
          <w:u w:val="none"/>
        </w:rPr>
        <w:t>Andrew Pigors, Pro Se</w:t>
      </w:r>
    </w:p>
    <w:p>
      <w:pPr>
        <w:spacing w:after="0" w:before="0" w:line="480" w:lineRule="auto"/>
        <w:ind w:firstLine="720"/>
        <w:jc w:val="left"/>
      </w:pPr>
      <w:r>
        <w:rPr>
          <w:rFonts w:ascii="Times New Roman" w:hAnsi="Times New Roman"/>
          <w:b w:val="0"/>
          <w:i w:val="0"/>
          <w:sz w:val="24"/>
          <w:u w:val="none"/>
        </w:rPr>
        <w:t>Plaintiff-Appellant / Petitioner</w:t>
      </w:r>
    </w:p>
    <w:p>
      <w:pPr>
        <w:spacing w:after="0" w:before="0" w:line="480" w:lineRule="auto"/>
        <w:ind w:firstLine="720"/>
        <w:jc w:val="left"/>
      </w:pPr>
      <w:r>
        <w:rPr>
          <w:rFonts w:ascii="Times New Roman" w:hAnsi="Times New Roman"/>
          <w:b w:val="0"/>
          <w:i w:val="0"/>
          <w:sz w:val="24"/>
          <w:u w:val="none"/>
        </w:rPr>
        <w:t>1977 Whitehall Road, Lot 17</w:t>
      </w:r>
    </w:p>
    <w:p>
      <w:pPr>
        <w:spacing w:after="0" w:before="0" w:line="480" w:lineRule="auto"/>
        <w:ind w:firstLine="720"/>
        <w:jc w:val="left"/>
      </w:pPr>
      <w:r>
        <w:rPr>
          <w:rFonts w:ascii="Times New Roman" w:hAnsi="Times New Roman"/>
          <w:b w:val="0"/>
          <w:i w:val="0"/>
          <w:sz w:val="24"/>
          <w:u w:val="none"/>
        </w:rPr>
        <w:t>Muskegon, MI 49445</w:t>
      </w:r>
    </w:p>
    <w:p>
      <w:pPr>
        <w:spacing w:after="0" w:before="0" w:line="480" w:lineRule="auto"/>
        <w:ind w:firstLine="720"/>
        <w:jc w:val="left"/>
      </w:pPr>
      <w:r>
        <w:rPr>
          <w:rFonts w:ascii="Times New Roman" w:hAnsi="Times New Roman"/>
          <w:b w:val="0"/>
          <w:i w:val="0"/>
          <w:sz w:val="24"/>
          <w:u w:val="none"/>
        </w:rPr>
        <w:t>(231) 903-5690</w:t>
      </w:r>
    </w:p>
    <w:p>
      <w:pPr>
        <w:spacing w:after="0" w:before="0" w:line="480" w:lineRule="auto"/>
        <w:ind w:firstLine="720"/>
        <w:jc w:val="left"/>
      </w:pPr>
      <w:r>
        <w:rPr>
          <w:rFonts w:ascii="Times New Roman" w:hAnsi="Times New Roman"/>
          <w:b w:val="0"/>
          <w:i w:val="0"/>
          <w:sz w:val="24"/>
          <w:u w:val="none"/>
        </w:rPr>
        <w:t>andrewpigors@gmail.com</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EMERGENCY APPLICATION FOR IMMEDIATE CONSIDERATION</w:t>
      </w:r>
    </w:p>
    <w:p>
      <w:pPr>
        <w:spacing w:after="0" w:before="0" w:line="480" w:lineRule="auto"/>
        <w:ind w:firstLine="720"/>
        <w:jc w:val="left"/>
      </w:pPr>
      <w:r>
        <w:rPr>
          <w:rFonts w:ascii="Times New Roman" w:hAnsi="Times New Roman"/>
          <w:b w:val="0"/>
          <w:i w:val="0"/>
          <w:sz w:val="24"/>
          <w:u w:val="none"/>
        </w:rPr>
        <w:t>Plaintiff-Petitioner Andrew Pigors ("Father"), proceeding pro se, respectfully submits this Emergency Application for Immediate Consideration pursuant to MCR 7.305(F) and MCR 7.315(C). This Application is filed simultaneously with Petitioner's Complaint for Superintending Control under MCR 7.306 and Const 1963, art 6, § 4.</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I. NATURE OF THE EMERGENCY</w:t>
      </w:r>
    </w:p>
    <w:p>
      <w:pPr>
        <w:spacing w:after="0" w:before="0" w:line="480" w:lineRule="auto"/>
        <w:ind w:firstLine="720"/>
        <w:jc w:val="left"/>
      </w:pPr>
      <w:r>
        <w:rPr>
          <w:rFonts w:ascii="Times New Roman" w:hAnsi="Times New Roman"/>
          <w:b/>
          <w:i w:val="0"/>
          <w:sz w:val="24"/>
          <w:u w:val="none"/>
        </w:rPr>
        <w:t xml:space="preserve">1. </w:t>
      </w:r>
      <w:r>
        <w:rPr>
          <w:rFonts w:ascii="Times New Roman" w:hAnsi="Times New Roman"/>
          <w:b w:val="0"/>
          <w:i w:val="0"/>
          <w:sz w:val="24"/>
          <w:u w:val="none"/>
        </w:rPr>
        <w:t xml:space="preserve">This case presents a genuine emergency requiring immediate intervention by this Honorable Court: the complete severance of a father-child relationship for </w:t>
      </w:r>
      <w:r>
        <w:rPr>
          <w:rFonts w:ascii="Times New Roman" w:hAnsi="Times New Roman"/>
          <w:b/>
          <w:i w:val="0"/>
          <w:sz w:val="24"/>
          <w:u w:val="none"/>
        </w:rPr>
        <w:t>567+ consecutive days</w:t>
      </w:r>
      <w:r>
        <w:rPr>
          <w:rFonts w:ascii="Times New Roman" w:hAnsi="Times New Roman"/>
          <w:b w:val="0"/>
          <w:i w:val="0"/>
          <w:sz w:val="24"/>
          <w:u w:val="none"/>
        </w:rPr>
        <w:t xml:space="preserve"> — and counting — without a single best-interest-factor hearing, without sworn evidence of harm, and without compliance with the mandatory procedural protections of MCR 3.207(C)(2).</w:t>
      </w:r>
    </w:p>
    <w:p>
      <w:pPr>
        <w:spacing w:after="0" w:before="0" w:line="480" w:lineRule="auto"/>
        <w:ind w:firstLine="720"/>
        <w:jc w:val="left"/>
      </w:pPr>
      <w:r>
        <w:rPr>
          <w:rFonts w:ascii="Times New Roman" w:hAnsi="Times New Roman"/>
          <w:b/>
          <w:i w:val="0"/>
          <w:sz w:val="24"/>
          <w:u w:val="none"/>
        </w:rPr>
        <w:t xml:space="preserve">2. </w:t>
      </w:r>
      <w:r>
        <w:rPr>
          <w:rFonts w:ascii="Times New Roman" w:hAnsi="Times New Roman"/>
          <w:b w:val="0"/>
          <w:i w:val="0"/>
          <w:sz w:val="24"/>
          <w:u w:val="none"/>
        </w:rPr>
        <w:t>MCR 7.305(F) authorizes emergency procedures when "delay in taking an appeal or in seeking leave to appeal will cause substantial harm to the applicant or others." Each additional day that passes causes measurable, irreversible developmental harm to a child who is losing formative years of his relationship with his father.</w:t>
      </w:r>
    </w:p>
    <w:p>
      <w:pPr>
        <w:spacing w:after="0" w:before="0" w:line="480" w:lineRule="auto"/>
        <w:ind w:firstLine="720"/>
        <w:jc w:val="left"/>
      </w:pPr>
      <w:r>
        <w:rPr>
          <w:rFonts w:ascii="Times New Roman" w:hAnsi="Times New Roman"/>
          <w:b/>
          <w:i w:val="0"/>
          <w:sz w:val="24"/>
          <w:u w:val="none"/>
        </w:rPr>
        <w:t xml:space="preserve">3. </w:t>
      </w:r>
      <w:r>
        <w:rPr>
          <w:rFonts w:ascii="Times New Roman" w:hAnsi="Times New Roman"/>
          <w:b w:val="0"/>
          <w:i w:val="0"/>
          <w:sz w:val="24"/>
          <w:u w:val="none"/>
        </w:rPr>
        <w:t xml:space="preserve">The child, Lincoln David Watson ("LDW"), born approximately 2022, is now approaching his fourth birthday. He has spent </w:t>
      </w:r>
      <w:r>
        <w:rPr>
          <w:rFonts w:ascii="Times New Roman" w:hAnsi="Times New Roman"/>
          <w:b/>
          <w:i w:val="0"/>
          <w:sz w:val="24"/>
          <w:u w:val="none"/>
        </w:rPr>
        <w:t>more than one-third of his entire life</w:t>
      </w:r>
      <w:r>
        <w:rPr>
          <w:rFonts w:ascii="Times New Roman" w:hAnsi="Times New Roman"/>
          <w:b w:val="0"/>
          <w:i w:val="0"/>
          <w:sz w:val="24"/>
          <w:u w:val="none"/>
        </w:rPr>
        <w:t xml:space="preserve"> completely separated from his father. The Court's own prior finding — that "[b]oth parents have a strong bond with the minor child" and that "[t]his Factor is equal between the parties" — is being destroyed by the very orders this Court is asked to review.</w:t>
      </w:r>
    </w:p>
    <w:p>
      <w:pPr>
        <w:spacing w:after="0" w:before="0" w:line="480" w:lineRule="auto"/>
        <w:ind w:firstLine="720"/>
        <w:jc w:val="left"/>
      </w:pPr>
      <w:r>
        <w:rPr>
          <w:rFonts w:ascii="Times New Roman" w:hAnsi="Times New Roman"/>
          <w:b/>
          <w:i w:val="0"/>
          <w:sz w:val="24"/>
          <w:u w:val="none"/>
        </w:rPr>
        <w:t xml:space="preserve">4. </w:t>
      </w:r>
      <w:r>
        <w:rPr>
          <w:rFonts w:ascii="Times New Roman" w:hAnsi="Times New Roman"/>
          <w:b w:val="0"/>
          <w:i w:val="0"/>
          <w:sz w:val="24"/>
          <w:u w:val="none"/>
        </w:rPr>
        <w:t xml:space="preserve">Normal appellate timelines are wholly inadequate to address this emergency. Court of Appeals Case No. 366810 was filed in June 2025. Over seven months have passed with no substantive action. Normal COA briefing schedules contemplate 6–12 additional months. By the time the COA issues any ruling, the child will have spent </w:t>
      </w:r>
      <w:r>
        <w:rPr>
          <w:rFonts w:ascii="Times New Roman" w:hAnsi="Times New Roman"/>
          <w:b/>
          <w:i w:val="0"/>
          <w:sz w:val="24"/>
          <w:u w:val="none"/>
        </w:rPr>
        <w:t>half his life</w:t>
      </w:r>
      <w:r>
        <w:rPr>
          <w:rFonts w:ascii="Times New Roman" w:hAnsi="Times New Roman"/>
          <w:b w:val="0"/>
          <w:i w:val="0"/>
          <w:sz w:val="24"/>
          <w:u w:val="none"/>
        </w:rPr>
        <w:t xml:space="preserve"> separated from his father.</w:t>
      </w:r>
    </w:p>
    <w:p>
      <w:pPr>
        <w:spacing w:after="0" w:before="0" w:line="480" w:lineRule="auto"/>
        <w:ind w:firstLine="720"/>
        <w:jc w:val="left"/>
      </w:pPr>
      <w:r>
        <w:rPr>
          <w:rFonts w:ascii="Times New Roman" w:hAnsi="Times New Roman"/>
          <w:b/>
          <w:i w:val="0"/>
          <w:sz w:val="24"/>
          <w:u w:val="none"/>
        </w:rPr>
        <w:t xml:space="preserve">5. </w:t>
      </w:r>
      <w:r>
        <w:rPr>
          <w:rFonts w:ascii="Times New Roman" w:hAnsi="Times New Roman"/>
          <w:b w:val="0"/>
          <w:i w:val="0"/>
          <w:sz w:val="24"/>
          <w:u w:val="none"/>
        </w:rPr>
        <w:t>Extraordinary circumstances under MCR 7.315(C) are present: a lower court has entered 24 ex parte orders — 44% of all orders in this case — without the notice, hearing, or findings required by MCR 3.207(C)(2), MCL 722.27a, or the Due Process Clause of the Fourteenth Amendment to the United States Constitution. The lower court has imposed a $250-per-motion filing bond that unconstitutionally blocks all access to judicial relief. And the lower court judge has ruled on her own disqualification motion in violation of MCR 2.003(D).</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II. FACTS REQUIRING IMMEDIATE RELIEF</w:t>
      </w:r>
    </w:p>
    <w:p>
      <w:pPr>
        <w:spacing w:after="0" w:before="0" w:line="480" w:lineRule="auto"/>
        <w:jc w:val="left"/>
      </w:pPr>
      <w:r>
        <w:rPr>
          <w:rFonts w:ascii="Times New Roman" w:hAnsi="Times New Roman"/>
          <w:b/>
          <w:i w:val="0"/>
          <w:sz w:val="24"/>
          <w:u w:val="single"/>
        </w:rPr>
        <w:t>A. The August 8, 2025 Mass Ex Parte Orders</w:t>
      </w:r>
    </w:p>
    <w:p>
      <w:pPr>
        <w:spacing w:after="0" w:before="0" w:line="480" w:lineRule="auto"/>
        <w:ind w:firstLine="720"/>
        <w:jc w:val="left"/>
      </w:pPr>
      <w:r>
        <w:rPr>
          <w:rFonts w:ascii="Times New Roman" w:hAnsi="Times New Roman"/>
          <w:b/>
          <w:i w:val="0"/>
          <w:sz w:val="24"/>
          <w:u w:val="none"/>
        </w:rPr>
        <w:t xml:space="preserve">6. </w:t>
      </w:r>
      <w:r>
        <w:rPr>
          <w:rFonts w:ascii="Times New Roman" w:hAnsi="Times New Roman"/>
          <w:b w:val="0"/>
          <w:i w:val="0"/>
          <w:sz w:val="24"/>
          <w:u w:val="none"/>
        </w:rPr>
        <w:t xml:space="preserve">On August 8, 2025, Judge Jenny L. McNeill of the 14th Circuit Court, Muskegon County, entered </w:t>
      </w:r>
      <w:r>
        <w:rPr>
          <w:rFonts w:ascii="Times New Roman" w:hAnsi="Times New Roman"/>
          <w:b/>
          <w:i w:val="0"/>
          <w:sz w:val="24"/>
          <w:u w:val="none"/>
        </w:rPr>
        <w:t>five (5) separate ex parte orders on a single day</w:t>
      </w:r>
      <w:r>
        <w:rPr>
          <w:rFonts w:ascii="Times New Roman" w:hAnsi="Times New Roman"/>
          <w:b w:val="0"/>
          <w:i w:val="0"/>
          <w:sz w:val="24"/>
          <w:u w:val="none"/>
        </w:rPr>
        <w:t xml:space="preserve"> that collectively suspended ALL of Father's parenting time with LDW. (Ex. A — Aug. 8, 2025 Orders.)</w:t>
      </w:r>
    </w:p>
    <w:p>
      <w:pPr>
        <w:spacing w:after="0" w:before="0" w:line="480" w:lineRule="auto"/>
        <w:ind w:firstLine="720"/>
        <w:jc w:val="left"/>
      </w:pPr>
      <w:r>
        <w:rPr>
          <w:rFonts w:ascii="Times New Roman" w:hAnsi="Times New Roman"/>
          <w:b/>
          <w:i w:val="0"/>
          <w:sz w:val="24"/>
          <w:u w:val="none"/>
        </w:rPr>
        <w:t xml:space="preserve">7. </w:t>
      </w:r>
      <w:r>
        <w:rPr>
          <w:rFonts w:ascii="Times New Roman" w:hAnsi="Times New Roman"/>
          <w:b w:val="0"/>
          <w:i w:val="0"/>
          <w:sz w:val="24"/>
          <w:u w:val="none"/>
        </w:rPr>
        <w:t>Father was not served with the emergency ex parte motion before the orders were entered. Father arrived at the scheduled parenting-time exchange on August 8, 2025, expecting his regular time with his son. Only after the missed exchange — by calling the court — did Father discover that his parenting time had been suspended. (Ex. B — Father's Declaration.)</w:t>
      </w:r>
    </w:p>
    <w:p>
      <w:pPr>
        <w:spacing w:after="0" w:before="0" w:line="480" w:lineRule="auto"/>
        <w:ind w:firstLine="720"/>
        <w:jc w:val="left"/>
      </w:pPr>
      <w:r>
        <w:rPr>
          <w:rFonts w:ascii="Times New Roman" w:hAnsi="Times New Roman"/>
          <w:b/>
          <w:i w:val="0"/>
          <w:sz w:val="24"/>
          <w:u w:val="none"/>
        </w:rPr>
        <w:t xml:space="preserve">8. </w:t>
      </w:r>
      <w:r>
        <w:rPr>
          <w:rFonts w:ascii="Times New Roman" w:hAnsi="Times New Roman"/>
          <w:b w:val="0"/>
          <w:i w:val="0"/>
          <w:sz w:val="24"/>
          <w:u w:val="none"/>
        </w:rPr>
        <w:t>The ex parte motion was filed by Defendant Tiffany Watson ("Mother") and was premised entirely on unsworn allegations. The motion did not contain:</w:t>
      </w:r>
    </w:p>
    <w:p>
      <w:pPr>
        <w:spacing w:after="0" w:before="0" w:line="480" w:lineRule="auto"/>
        <w:ind w:left="720"/>
        <w:jc w:val="left"/>
      </w:pPr>
      <w:r>
        <w:rPr>
          <w:rFonts w:ascii="Times New Roman" w:hAnsi="Times New Roman"/>
          <w:b/>
          <w:i w:val="0"/>
          <w:sz w:val="24"/>
          <w:u w:val="none"/>
        </w:rPr>
        <w:t xml:space="preserve">a. </w:t>
      </w:r>
      <w:r>
        <w:rPr>
          <w:rFonts w:ascii="Times New Roman" w:hAnsi="Times New Roman"/>
          <w:b w:val="0"/>
          <w:i w:val="0"/>
          <w:sz w:val="24"/>
          <w:u w:val="none"/>
        </w:rPr>
        <w:t>Specific facts establishing immediate and irreparable injury, loss, or damage as required by MCR 3.207(B)(1);</w:t>
      </w:r>
    </w:p>
    <w:p>
      <w:pPr>
        <w:spacing w:after="0" w:before="0" w:line="480" w:lineRule="auto"/>
        <w:ind w:left="720"/>
        <w:jc w:val="left"/>
      </w:pPr>
      <w:r>
        <w:rPr>
          <w:rFonts w:ascii="Times New Roman" w:hAnsi="Times New Roman"/>
          <w:b/>
          <w:i w:val="0"/>
          <w:sz w:val="24"/>
          <w:u w:val="none"/>
        </w:rPr>
        <w:t xml:space="preserve">b. </w:t>
      </w:r>
      <w:r>
        <w:rPr>
          <w:rFonts w:ascii="Times New Roman" w:hAnsi="Times New Roman"/>
          <w:b w:val="0"/>
          <w:i w:val="0"/>
          <w:sz w:val="24"/>
          <w:u w:val="none"/>
        </w:rPr>
        <w:t>A verified pleading or affidavit as required by MCR 3.207(B)(5);</w:t>
      </w:r>
    </w:p>
    <w:p>
      <w:pPr>
        <w:spacing w:after="0" w:before="0" w:line="480" w:lineRule="auto"/>
        <w:ind w:left="720"/>
        <w:jc w:val="left"/>
      </w:pPr>
      <w:r>
        <w:rPr>
          <w:rFonts w:ascii="Times New Roman" w:hAnsi="Times New Roman"/>
          <w:b/>
          <w:i w:val="0"/>
          <w:sz w:val="24"/>
          <w:u w:val="none"/>
        </w:rPr>
        <w:t xml:space="preserve">c. </w:t>
      </w:r>
      <w:r>
        <w:rPr>
          <w:rFonts w:ascii="Times New Roman" w:hAnsi="Times New Roman"/>
          <w:b w:val="0"/>
          <w:i w:val="0"/>
          <w:sz w:val="24"/>
          <w:u w:val="none"/>
        </w:rPr>
        <w:t>Any analysis of the twelve best-interest factors under MCL 722.23(a)–(l); or</w:t>
      </w:r>
    </w:p>
    <w:p>
      <w:pPr>
        <w:spacing w:after="0" w:before="0" w:line="480" w:lineRule="auto"/>
        <w:ind w:left="720"/>
        <w:jc w:val="left"/>
      </w:pPr>
      <w:r>
        <w:rPr>
          <w:rFonts w:ascii="Times New Roman" w:hAnsi="Times New Roman"/>
          <w:b/>
          <w:i w:val="0"/>
          <w:sz w:val="24"/>
          <w:u w:val="none"/>
        </w:rPr>
        <w:t xml:space="preserve">d. </w:t>
      </w:r>
      <w:r>
        <w:rPr>
          <w:rFonts w:ascii="Times New Roman" w:hAnsi="Times New Roman"/>
          <w:b w:val="0"/>
          <w:i w:val="0"/>
          <w:sz w:val="24"/>
          <w:u w:val="none"/>
        </w:rPr>
        <w:t>Any admissible evidence meeting MRE 602 (personal knowledge), MRE 801 (hearsay), or MRE 901 (authentication).</w:t>
      </w:r>
    </w:p>
    <w:p>
      <w:pPr>
        <w:spacing w:after="0" w:before="0" w:line="480" w:lineRule="auto"/>
        <w:ind w:firstLine="720"/>
        <w:jc w:val="left"/>
      </w:pPr>
      <w:r>
        <w:rPr>
          <w:rFonts w:ascii="Times New Roman" w:hAnsi="Times New Roman"/>
          <w:b/>
          <w:i w:val="0"/>
          <w:sz w:val="24"/>
          <w:u w:val="none"/>
        </w:rPr>
        <w:t xml:space="preserve">9. </w:t>
      </w:r>
      <w:r>
        <w:rPr>
          <w:rFonts w:ascii="Times New Roman" w:hAnsi="Times New Roman"/>
          <w:b w:val="0"/>
          <w:i w:val="0"/>
          <w:sz w:val="24"/>
          <w:u w:val="none"/>
        </w:rPr>
        <w:t>The allegations that underpin the suspension have been systematically analyzed and are contradicted by the record. The Court itself previously found that "[b]oth parents have a strong bond with the minor child" and that this factor was "equal between the parties." No intervening event — supported by admissible evidence — justifies the complete reversal of this finding.</w:t>
      </w:r>
    </w:p>
    <w:p>
      <w:pPr>
        <w:spacing w:after="0" w:before="0" w:line="480" w:lineRule="auto"/>
        <w:jc w:val="left"/>
      </w:pPr>
      <w:r>
        <w:rPr>
          <w:rFonts w:ascii="Times New Roman" w:hAnsi="Times New Roman"/>
          <w:b/>
          <w:i w:val="0"/>
          <w:sz w:val="24"/>
          <w:u w:val="single"/>
        </w:rPr>
        <w:t>B. The Pattern of Ex Parte Abuse</w:t>
      </w:r>
    </w:p>
    <w:p>
      <w:pPr>
        <w:spacing w:after="0" w:before="0" w:line="480" w:lineRule="auto"/>
        <w:ind w:firstLine="720"/>
        <w:jc w:val="left"/>
      </w:pPr>
      <w:r>
        <w:rPr>
          <w:rFonts w:ascii="Times New Roman" w:hAnsi="Times New Roman"/>
          <w:b/>
          <w:i w:val="0"/>
          <w:sz w:val="24"/>
          <w:u w:val="none"/>
        </w:rPr>
        <w:t xml:space="preserve">10. </w:t>
      </w:r>
      <w:r>
        <w:rPr>
          <w:rFonts w:ascii="Times New Roman" w:hAnsi="Times New Roman"/>
          <w:b w:val="0"/>
          <w:i w:val="0"/>
          <w:sz w:val="24"/>
          <w:u w:val="none"/>
        </w:rPr>
        <w:t xml:space="preserve">The August 8, 2025 orders are not an isolated incident. </w:t>
      </w:r>
      <w:r>
        <w:rPr>
          <w:rFonts w:ascii="Times New Roman" w:hAnsi="Times New Roman"/>
          <w:b/>
          <w:i w:val="0"/>
          <w:sz w:val="24"/>
          <w:u w:val="none"/>
        </w:rPr>
        <w:t>Twenty-four (24) of fifty-five (55) total orders in this case — 43.6% — were entered ex parte.</w:t>
      </w:r>
      <w:r>
        <w:rPr>
          <w:rFonts w:ascii="Times New Roman" w:hAnsi="Times New Roman"/>
          <w:b w:val="0"/>
          <w:i w:val="0"/>
          <w:sz w:val="24"/>
          <w:u w:val="none"/>
        </w:rPr>
        <w:t xml:space="preserve"> All 24 were entered by Judge McNeill. All 24 were entered without notice to Father. All 24 favored Mother. (Ex. C — Ex Parte Order Analysis.)</w:t>
      </w:r>
    </w:p>
    <w:p>
      <w:pPr>
        <w:spacing w:after="0" w:before="0" w:line="480" w:lineRule="auto"/>
        <w:ind w:firstLine="720"/>
        <w:jc w:val="left"/>
      </w:pPr>
      <w:r>
        <w:rPr>
          <w:rFonts w:ascii="Times New Roman" w:hAnsi="Times New Roman"/>
          <w:b/>
          <w:i w:val="0"/>
          <w:sz w:val="24"/>
          <w:u w:val="none"/>
        </w:rPr>
        <w:t xml:space="preserve">11. </w:t>
      </w:r>
      <w:r>
        <w:rPr>
          <w:rFonts w:ascii="Times New Roman" w:hAnsi="Times New Roman"/>
          <w:b w:val="0"/>
          <w:i w:val="0"/>
          <w:sz w:val="24"/>
          <w:u w:val="none"/>
        </w:rPr>
        <w:t xml:space="preserve">The database of record in this case documents </w:t>
      </w:r>
      <w:r>
        <w:rPr>
          <w:rFonts w:ascii="Times New Roman" w:hAnsi="Times New Roman"/>
          <w:b/>
          <w:i w:val="0"/>
          <w:sz w:val="24"/>
          <w:u w:val="none"/>
        </w:rPr>
        <w:t>1,127 judicial violations</w:t>
      </w:r>
      <w:r>
        <w:rPr>
          <w:rFonts w:ascii="Times New Roman" w:hAnsi="Times New Roman"/>
          <w:b w:val="0"/>
          <w:i w:val="0"/>
          <w:sz w:val="24"/>
          <w:u w:val="none"/>
        </w:rPr>
        <w:t xml:space="preserve"> by Judge McNeill, including:</w:t>
      </w:r>
    </w:p>
    <w:p>
      <w:pPr>
        <w:spacing w:after="0" w:before="0" w:line="480" w:lineRule="auto"/>
        <w:ind w:left="720"/>
        <w:jc w:val="left"/>
      </w:pPr>
      <w:r>
        <w:rPr>
          <w:rFonts w:ascii="Times New Roman" w:hAnsi="Times New Roman"/>
          <w:b/>
          <w:i w:val="0"/>
          <w:sz w:val="24"/>
          <w:u w:val="none"/>
        </w:rPr>
        <w:t xml:space="preserve">a. </w:t>
      </w:r>
      <w:r>
        <w:rPr>
          <w:rFonts w:ascii="Times New Roman" w:hAnsi="Times New Roman"/>
          <w:b/>
          <w:i w:val="0"/>
          <w:sz w:val="24"/>
          <w:u w:val="none"/>
        </w:rPr>
        <w:t>267 ex parte violations</w:t>
      </w:r>
      <w:r>
        <w:rPr>
          <w:rFonts w:ascii="Times New Roman" w:hAnsi="Times New Roman"/>
          <w:b w:val="0"/>
          <w:i w:val="0"/>
          <w:sz w:val="24"/>
          <w:u w:val="none"/>
        </w:rPr>
        <w:t xml:space="preserve"> — orders entered without required MCR 3.207(C)(2) notice and findings;</w:t>
      </w:r>
    </w:p>
    <w:p>
      <w:pPr>
        <w:spacing w:after="0" w:before="0" w:line="480" w:lineRule="auto"/>
        <w:ind w:left="720"/>
        <w:jc w:val="left"/>
      </w:pPr>
      <w:r>
        <w:rPr>
          <w:rFonts w:ascii="Times New Roman" w:hAnsi="Times New Roman"/>
          <w:b/>
          <w:i w:val="0"/>
          <w:sz w:val="24"/>
          <w:u w:val="none"/>
        </w:rPr>
        <w:t xml:space="preserve">b. </w:t>
      </w:r>
      <w:r>
        <w:rPr>
          <w:rFonts w:ascii="Times New Roman" w:hAnsi="Times New Roman"/>
          <w:b/>
          <w:i w:val="0"/>
          <w:sz w:val="24"/>
          <w:u w:val="none"/>
        </w:rPr>
        <w:t>167 disqualification-related violations</w:t>
      </w:r>
      <w:r>
        <w:rPr>
          <w:rFonts w:ascii="Times New Roman" w:hAnsi="Times New Roman"/>
          <w:b w:val="0"/>
          <w:i w:val="0"/>
          <w:sz w:val="24"/>
          <w:u w:val="none"/>
        </w:rPr>
        <w:t xml:space="preserve"> under MCR 2.003;</w:t>
      </w:r>
    </w:p>
    <w:p>
      <w:pPr>
        <w:spacing w:after="0" w:before="0" w:line="480" w:lineRule="auto"/>
        <w:ind w:left="720"/>
        <w:jc w:val="left"/>
      </w:pPr>
      <w:r>
        <w:rPr>
          <w:rFonts w:ascii="Times New Roman" w:hAnsi="Times New Roman"/>
          <w:b/>
          <w:i w:val="0"/>
          <w:sz w:val="24"/>
          <w:u w:val="none"/>
        </w:rPr>
        <w:t xml:space="preserve">c. </w:t>
      </w:r>
      <w:r>
        <w:rPr>
          <w:rFonts w:ascii="Times New Roman" w:hAnsi="Times New Roman"/>
          <w:b/>
          <w:i w:val="0"/>
          <w:sz w:val="24"/>
          <w:u w:val="none"/>
        </w:rPr>
        <w:t>161 procedural misconduct events</w:t>
      </w:r>
      <w:r>
        <w:rPr>
          <w:rFonts w:ascii="Times New Roman" w:hAnsi="Times New Roman"/>
          <w:b w:val="0"/>
          <w:i w:val="0"/>
          <w:sz w:val="24"/>
          <w:u w:val="none"/>
        </w:rPr>
        <w:t>;</w:t>
      </w:r>
    </w:p>
    <w:p>
      <w:pPr>
        <w:spacing w:after="0" w:before="0" w:line="480" w:lineRule="auto"/>
        <w:ind w:left="720"/>
        <w:jc w:val="left"/>
      </w:pPr>
      <w:r>
        <w:rPr>
          <w:rFonts w:ascii="Times New Roman" w:hAnsi="Times New Roman"/>
          <w:b/>
          <w:i w:val="0"/>
          <w:sz w:val="24"/>
          <w:u w:val="none"/>
        </w:rPr>
        <w:t xml:space="preserve">d. </w:t>
      </w:r>
      <w:r>
        <w:rPr>
          <w:rFonts w:ascii="Times New Roman" w:hAnsi="Times New Roman"/>
          <w:b/>
          <w:i w:val="0"/>
          <w:sz w:val="24"/>
          <w:u w:val="none"/>
        </w:rPr>
        <w:t>129 notice deficiency violations</w:t>
      </w:r>
      <w:r>
        <w:rPr>
          <w:rFonts w:ascii="Times New Roman" w:hAnsi="Times New Roman"/>
          <w:b w:val="0"/>
          <w:i w:val="0"/>
          <w:sz w:val="24"/>
          <w:u w:val="none"/>
        </w:rPr>
        <w:t>; and</w:t>
      </w:r>
    </w:p>
    <w:p>
      <w:pPr>
        <w:spacing w:after="0" w:before="0" w:line="480" w:lineRule="auto"/>
        <w:ind w:left="720"/>
        <w:jc w:val="left"/>
      </w:pPr>
      <w:r>
        <w:rPr>
          <w:rFonts w:ascii="Times New Roman" w:hAnsi="Times New Roman"/>
          <w:b/>
          <w:i w:val="0"/>
          <w:sz w:val="24"/>
          <w:u w:val="none"/>
        </w:rPr>
        <w:t xml:space="preserve">e. </w:t>
      </w:r>
      <w:r>
        <w:rPr>
          <w:rFonts w:ascii="Times New Roman" w:hAnsi="Times New Roman"/>
          <w:b/>
          <w:i w:val="0"/>
          <w:sz w:val="24"/>
          <w:u w:val="none"/>
        </w:rPr>
        <w:t>40 due process violations</w:t>
      </w:r>
      <w:r>
        <w:rPr>
          <w:rFonts w:ascii="Times New Roman" w:hAnsi="Times New Roman"/>
          <w:b w:val="0"/>
          <w:i w:val="0"/>
          <w:sz w:val="24"/>
          <w:u w:val="none"/>
        </w:rPr>
        <w:t xml:space="preserve"> under the Fourteenth Amendment.</w:t>
      </w:r>
    </w:p>
    <w:p>
      <w:pPr>
        <w:spacing w:after="0" w:before="0" w:line="480" w:lineRule="auto"/>
        <w:jc w:val="left"/>
      </w:pPr>
      <w:r>
        <w:rPr>
          <w:rFonts w:ascii="Times New Roman" w:hAnsi="Times New Roman"/>
          <w:b/>
          <w:i w:val="0"/>
          <w:sz w:val="24"/>
          <w:u w:val="single"/>
        </w:rPr>
        <w:t>C. The $250 Filing Bond — Blocking All Access to Justice</w:t>
      </w:r>
    </w:p>
    <w:p>
      <w:pPr>
        <w:spacing w:after="0" w:before="0" w:line="480" w:lineRule="auto"/>
        <w:ind w:firstLine="720"/>
        <w:jc w:val="left"/>
      </w:pPr>
      <w:r>
        <w:rPr>
          <w:rFonts w:ascii="Times New Roman" w:hAnsi="Times New Roman"/>
          <w:b/>
          <w:i w:val="0"/>
          <w:sz w:val="24"/>
          <w:u w:val="none"/>
        </w:rPr>
        <w:t xml:space="preserve">12. </w:t>
      </w:r>
      <w:r>
        <w:rPr>
          <w:rFonts w:ascii="Times New Roman" w:hAnsi="Times New Roman"/>
          <w:b w:val="0"/>
          <w:i w:val="0"/>
          <w:sz w:val="24"/>
          <w:u w:val="none"/>
        </w:rPr>
        <w:t>On or about May 16, 2025, Judge McNeill ordered: "Plaintiff must pay a bond of $250 (for each motion) before he may file another motion." (Ex. D — Bond Order.)</w:t>
      </w:r>
    </w:p>
    <w:p>
      <w:pPr>
        <w:spacing w:after="0" w:before="0" w:line="480" w:lineRule="auto"/>
        <w:ind w:firstLine="720"/>
        <w:jc w:val="left"/>
      </w:pPr>
      <w:r>
        <w:rPr>
          <w:rFonts w:ascii="Times New Roman" w:hAnsi="Times New Roman"/>
          <w:b/>
          <w:i w:val="0"/>
          <w:sz w:val="24"/>
          <w:u w:val="none"/>
        </w:rPr>
        <w:t xml:space="preserve">13. </w:t>
      </w:r>
      <w:r>
        <w:rPr>
          <w:rFonts w:ascii="Times New Roman" w:hAnsi="Times New Roman"/>
          <w:b w:val="0"/>
          <w:i w:val="0"/>
          <w:sz w:val="24"/>
          <w:u w:val="none"/>
        </w:rPr>
        <w:t>This order effectively bars Father — a pro se litigant — from all access to the lower court. Father cannot petition for restoration of parenting time, cannot move for reconsideration, and cannot seek any relief from the very orders that have separated him from his child for 567+ days.</w:t>
      </w:r>
    </w:p>
    <w:p>
      <w:pPr>
        <w:spacing w:after="0" w:before="0" w:line="480" w:lineRule="auto"/>
        <w:ind w:firstLine="720"/>
        <w:jc w:val="left"/>
      </w:pPr>
      <w:r>
        <w:rPr>
          <w:rFonts w:ascii="Times New Roman" w:hAnsi="Times New Roman"/>
          <w:b/>
          <w:i w:val="0"/>
          <w:sz w:val="24"/>
          <w:u w:val="none"/>
        </w:rPr>
        <w:t xml:space="preserve">14. </w:t>
      </w:r>
      <w:r>
        <w:rPr>
          <w:rFonts w:ascii="Times New Roman" w:hAnsi="Times New Roman"/>
          <w:b w:val="0"/>
          <w:i w:val="0"/>
          <w:sz w:val="24"/>
          <w:u w:val="none"/>
        </w:rPr>
        <w:t xml:space="preserve">The United States Supreme Court has held that a State may not condition access to its courts on the ability to pay fees where fundamental rights are at stake. </w:t>
      </w:r>
      <w:r>
        <w:rPr>
          <w:rFonts w:ascii="Times New Roman" w:hAnsi="Times New Roman"/>
          <w:b w:val="0"/>
          <w:i/>
          <w:sz w:val="24"/>
          <w:u w:val="none"/>
        </w:rPr>
        <w:t>Boddie v. Connecticut</w:t>
      </w:r>
      <w:r>
        <w:rPr>
          <w:rFonts w:ascii="Times New Roman" w:hAnsi="Times New Roman"/>
          <w:b w:val="0"/>
          <w:i w:val="0"/>
          <w:sz w:val="24"/>
          <w:u w:val="none"/>
        </w:rPr>
        <w:t xml:space="preserve">, 401 U.S. 371, 380–81 (1971). The parental liberty interest is "perhaps the oldest of the fundamental liberty interests recognized by this Court." </w:t>
      </w:r>
      <w:r>
        <w:rPr>
          <w:rFonts w:ascii="Times New Roman" w:hAnsi="Times New Roman"/>
          <w:b w:val="0"/>
          <w:i/>
          <w:sz w:val="24"/>
          <w:u w:val="none"/>
        </w:rPr>
        <w:t>Troxel v. Granville</w:t>
      </w:r>
      <w:r>
        <w:rPr>
          <w:rFonts w:ascii="Times New Roman" w:hAnsi="Times New Roman"/>
          <w:b w:val="0"/>
          <w:i w:val="0"/>
          <w:sz w:val="24"/>
          <w:u w:val="none"/>
        </w:rPr>
        <w:t xml:space="preserve">, 530 U.S. 57, 65 (2000). A $250-per-motion bond that prevents a parent from seeking restoration of his relationship with his child is unconstitutional under </w:t>
      </w:r>
      <w:r>
        <w:rPr>
          <w:rFonts w:ascii="Times New Roman" w:hAnsi="Times New Roman"/>
          <w:b w:val="0"/>
          <w:i/>
          <w:sz w:val="24"/>
          <w:u w:val="none"/>
        </w:rPr>
        <w:t>Boddie</w:t>
      </w:r>
      <w:r>
        <w:rPr>
          <w:rFonts w:ascii="Times New Roman" w:hAnsi="Times New Roman"/>
          <w:b w:val="0"/>
          <w:i w:val="0"/>
          <w:sz w:val="24"/>
          <w:u w:val="none"/>
        </w:rPr>
        <w:t>.</w:t>
      </w:r>
    </w:p>
    <w:p>
      <w:pPr>
        <w:spacing w:after="0" w:before="0" w:line="480" w:lineRule="auto"/>
        <w:jc w:val="left"/>
      </w:pPr>
      <w:r>
        <w:rPr>
          <w:rFonts w:ascii="Times New Roman" w:hAnsi="Times New Roman"/>
          <w:b/>
          <w:i w:val="0"/>
          <w:sz w:val="24"/>
          <w:u w:val="single"/>
        </w:rPr>
        <w:t>D. No Best-Interest-Factor Hearing — Ever</w:t>
      </w:r>
    </w:p>
    <w:p>
      <w:pPr>
        <w:spacing w:after="0" w:before="0" w:line="480" w:lineRule="auto"/>
        <w:ind w:firstLine="720"/>
        <w:jc w:val="left"/>
      </w:pPr>
      <w:r>
        <w:rPr>
          <w:rFonts w:ascii="Times New Roman" w:hAnsi="Times New Roman"/>
          <w:b/>
          <w:i w:val="0"/>
          <w:sz w:val="24"/>
          <w:u w:val="none"/>
        </w:rPr>
        <w:t xml:space="preserve">15. </w:t>
      </w:r>
      <w:r>
        <w:rPr>
          <w:rFonts w:ascii="Times New Roman" w:hAnsi="Times New Roman"/>
          <w:b w:val="0"/>
          <w:i w:val="0"/>
          <w:sz w:val="24"/>
          <w:u w:val="none"/>
        </w:rPr>
        <w:t>In 567+ days of complete separation, no court has conducted a hearing on the twelve best-interest factors set forth in MCL 722.23(a)–(l). No findings of fact have been entered. No evidence has been weighed.</w:t>
      </w:r>
    </w:p>
    <w:p>
      <w:pPr>
        <w:spacing w:after="0" w:before="0" w:line="480" w:lineRule="auto"/>
        <w:ind w:firstLine="720"/>
        <w:jc w:val="left"/>
      </w:pPr>
      <w:r>
        <w:rPr>
          <w:rFonts w:ascii="Times New Roman" w:hAnsi="Times New Roman"/>
          <w:b/>
          <w:i w:val="0"/>
          <w:sz w:val="24"/>
          <w:u w:val="none"/>
        </w:rPr>
        <w:t xml:space="preserve">16. </w:t>
      </w:r>
      <w:r>
        <w:rPr>
          <w:rFonts w:ascii="Times New Roman" w:hAnsi="Times New Roman"/>
          <w:b w:val="0"/>
          <w:i w:val="0"/>
          <w:sz w:val="24"/>
          <w:u w:val="none"/>
        </w:rPr>
        <w:t>MCL 722.27(1)(c) requires that before a court modifies custody or parenting time, it must determine whether an established custodial environment exists and, if so, whether clear and convincing evidence supports the modification. This has never been done.</w:t>
      </w:r>
    </w:p>
    <w:p>
      <w:pPr>
        <w:spacing w:after="0" w:before="0" w:line="480" w:lineRule="auto"/>
        <w:ind w:firstLine="720"/>
        <w:jc w:val="left"/>
      </w:pPr>
      <w:r>
        <w:rPr>
          <w:rFonts w:ascii="Times New Roman" w:hAnsi="Times New Roman"/>
          <w:b/>
          <w:i w:val="0"/>
          <w:sz w:val="24"/>
          <w:u w:val="none"/>
        </w:rPr>
        <w:t xml:space="preserve">17. </w:t>
      </w:r>
      <w:r>
        <w:rPr>
          <w:rFonts w:ascii="Times New Roman" w:hAnsi="Times New Roman"/>
          <w:b w:val="0"/>
          <w:i w:val="0"/>
          <w:sz w:val="24"/>
          <w:u w:val="none"/>
        </w:rPr>
        <w:t xml:space="preserve">All twelve best-interest factors have been analyzed against the evidentiary record, with </w:t>
      </w:r>
      <w:r>
        <w:rPr>
          <w:rFonts w:ascii="Times New Roman" w:hAnsi="Times New Roman"/>
          <w:b/>
          <w:i w:val="0"/>
          <w:sz w:val="24"/>
          <w:u w:val="none"/>
        </w:rPr>
        <w:t>519 evidence links</w:t>
      </w:r>
      <w:r>
        <w:rPr>
          <w:rFonts w:ascii="Times New Roman" w:hAnsi="Times New Roman"/>
          <w:b w:val="0"/>
          <w:i w:val="0"/>
          <w:sz w:val="24"/>
          <w:u w:val="none"/>
        </w:rPr>
        <w:t xml:space="preserve"> mapped across the factors. The record overwhelmingly supports Father's fitness and the child's need for a relationship with both parents. Factor (a) — love, affection, and emotional ties — was found "equal between the parties" by the Court's own order. Factor (j) — willingness to facilitate a close relationship — heavily favors Father, who has consistently sought parenting time while Mother has systematically withheld it.</w:t>
      </w:r>
    </w:p>
    <w:p>
      <w:pPr>
        <w:spacing w:after="0" w:before="0" w:line="480" w:lineRule="auto"/>
        <w:jc w:val="left"/>
      </w:pPr>
      <w:r>
        <w:rPr>
          <w:rFonts w:ascii="Times New Roman" w:hAnsi="Times New Roman"/>
          <w:b/>
          <w:i w:val="0"/>
          <w:sz w:val="24"/>
          <w:u w:val="single"/>
        </w:rPr>
        <w:t>E. Silencing of Father at Hearings</w:t>
      </w:r>
    </w:p>
    <w:p>
      <w:pPr>
        <w:spacing w:after="0" w:before="0" w:line="480" w:lineRule="auto"/>
        <w:ind w:firstLine="720"/>
        <w:jc w:val="left"/>
      </w:pPr>
      <w:r>
        <w:rPr>
          <w:rFonts w:ascii="Times New Roman" w:hAnsi="Times New Roman"/>
          <w:b/>
          <w:i w:val="0"/>
          <w:sz w:val="24"/>
          <w:u w:val="none"/>
        </w:rPr>
        <w:t xml:space="preserve">18. </w:t>
      </w:r>
      <w:r>
        <w:rPr>
          <w:rFonts w:ascii="Times New Roman" w:hAnsi="Times New Roman"/>
          <w:b w:val="0"/>
          <w:i w:val="0"/>
          <w:sz w:val="24"/>
          <w:u w:val="none"/>
        </w:rPr>
        <w:t>Father has been systematically silenced at court hearings. In Father's own words, documented in the record: "I was muted, cut off, or told the judge would not look at further filings, effectively closing the courtroom door to a self-represented parent." (Ex. E — Father's Declaration.)</w:t>
      </w:r>
    </w:p>
    <w:p>
      <w:pPr>
        <w:spacing w:after="0" w:before="0" w:line="480" w:lineRule="auto"/>
        <w:ind w:firstLine="720"/>
        <w:jc w:val="left"/>
      </w:pPr>
      <w:r>
        <w:rPr>
          <w:rFonts w:ascii="Times New Roman" w:hAnsi="Times New Roman"/>
          <w:b/>
          <w:i w:val="0"/>
          <w:sz w:val="24"/>
          <w:u w:val="none"/>
        </w:rPr>
        <w:t xml:space="preserve">19. </w:t>
      </w:r>
      <w:r>
        <w:rPr>
          <w:rFonts w:ascii="Times New Roman" w:hAnsi="Times New Roman"/>
          <w:b w:val="0"/>
          <w:i w:val="0"/>
          <w:sz w:val="24"/>
          <w:u w:val="none"/>
        </w:rPr>
        <w:t>At multiple hearings, Judge McNeill muted Father's microphone, cut him off mid-objection, and instructed him not to file further materials because she would not review them. This conduct violates the Due Process Clause of the Fourteenth Amendment and Canon 3(A)(4) of the Michigan Code of Judicial Conduct, which requires a judge to "accord to every person who has a legal interest in a proceeding . . . the right to be heard according to law."</w:t>
      </w:r>
    </w:p>
    <w:p>
      <w:pPr>
        <w:spacing w:after="0" w:before="0" w:line="480" w:lineRule="auto"/>
        <w:jc w:val="left"/>
      </w:pPr>
      <w:r>
        <w:rPr>
          <w:rFonts w:ascii="Times New Roman" w:hAnsi="Times New Roman"/>
          <w:b/>
          <w:i w:val="0"/>
          <w:sz w:val="24"/>
          <w:u w:val="single"/>
        </w:rPr>
        <w:t>F. Self-Ruling on Disqualification</w:t>
      </w:r>
    </w:p>
    <w:p>
      <w:pPr>
        <w:spacing w:after="0" w:before="0" w:line="480" w:lineRule="auto"/>
        <w:ind w:firstLine="720"/>
        <w:jc w:val="left"/>
      </w:pPr>
      <w:r>
        <w:rPr>
          <w:rFonts w:ascii="Times New Roman" w:hAnsi="Times New Roman"/>
          <w:b/>
          <w:i w:val="0"/>
          <w:sz w:val="24"/>
          <w:u w:val="none"/>
        </w:rPr>
        <w:t xml:space="preserve">20. </w:t>
      </w:r>
      <w:r>
        <w:rPr>
          <w:rFonts w:ascii="Times New Roman" w:hAnsi="Times New Roman"/>
          <w:b w:val="0"/>
          <w:i w:val="0"/>
          <w:sz w:val="24"/>
          <w:u w:val="none"/>
        </w:rPr>
        <w:t>Father filed a motion to disqualify Judge McNeill pursuant to MCR 2.003(C). Rather than referring the motion to the Chief Judge as required by MCR 2.003(D), Judge McNeill ruled on her own disqualification motion and denied it. This is a direct violation of MCR 2.003(D), which mandates: "The challenged judge shall refer the motion to the chief judge."</w:t>
      </w:r>
    </w:p>
    <w:p>
      <w:pPr>
        <w:spacing w:after="0" w:before="0" w:line="480" w:lineRule="auto"/>
        <w:jc w:val="left"/>
      </w:pPr>
      <w:r>
        <w:rPr>
          <w:rFonts w:ascii="Times New Roman" w:hAnsi="Times New Roman"/>
          <w:b/>
          <w:i w:val="0"/>
          <w:sz w:val="24"/>
          <w:u w:val="single"/>
        </w:rPr>
        <w:t>G. The Child's Suffering</w:t>
      </w:r>
    </w:p>
    <w:p>
      <w:pPr>
        <w:spacing w:after="0" w:before="0" w:line="480" w:lineRule="auto"/>
        <w:ind w:firstLine="720"/>
        <w:jc w:val="left"/>
      </w:pPr>
      <w:r>
        <w:rPr>
          <w:rFonts w:ascii="Times New Roman" w:hAnsi="Times New Roman"/>
          <w:b/>
          <w:i w:val="0"/>
          <w:sz w:val="24"/>
          <w:u w:val="none"/>
        </w:rPr>
        <w:t xml:space="preserve">21. </w:t>
      </w:r>
      <w:r>
        <w:rPr>
          <w:rFonts w:ascii="Times New Roman" w:hAnsi="Times New Roman"/>
          <w:b w:val="0"/>
          <w:i w:val="0"/>
          <w:sz w:val="24"/>
          <w:u w:val="none"/>
        </w:rPr>
        <w:t>Father has stated in the record: "My three-year-old son has been deprived of regular, loving contact with his father for months at a time. A genuine father-child bond, previously recognized by the court as a [strong bond]" is being systematically destroyed. (Ex. F — Father's Hearing Statement.)</w:t>
      </w:r>
    </w:p>
    <w:p>
      <w:pPr>
        <w:spacing w:after="0" w:before="0" w:line="480" w:lineRule="auto"/>
        <w:ind w:firstLine="720"/>
        <w:jc w:val="left"/>
      </w:pPr>
      <w:r>
        <w:rPr>
          <w:rFonts w:ascii="Times New Roman" w:hAnsi="Times New Roman"/>
          <w:b/>
          <w:i w:val="0"/>
          <w:sz w:val="24"/>
          <w:u w:val="none"/>
        </w:rPr>
        <w:t xml:space="preserve">22. </w:t>
      </w:r>
      <w:r>
        <w:rPr>
          <w:rFonts w:ascii="Times New Roman" w:hAnsi="Times New Roman"/>
          <w:b w:val="0"/>
          <w:i w:val="0"/>
          <w:sz w:val="24"/>
          <w:u w:val="none"/>
        </w:rPr>
        <w:t>The child is losing irreplaceable developmental time. Attachment theory and child developmental science establish that the period between ages 2 and 5 is critical for the formation of secure parent-child bonds. The complete severing of this bond during this window causes measurable, lasting psychological harm that cannot be remediated after the fact.</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III. WHY NORMAL APPELLATE TIMELINE IS INADEQUATE</w:t>
      </w:r>
    </w:p>
    <w:p>
      <w:pPr>
        <w:spacing w:after="0" w:before="0" w:line="480" w:lineRule="auto"/>
        <w:ind w:firstLine="720"/>
        <w:jc w:val="left"/>
      </w:pPr>
      <w:r>
        <w:rPr>
          <w:rFonts w:ascii="Times New Roman" w:hAnsi="Times New Roman"/>
          <w:b/>
          <w:i w:val="0"/>
          <w:sz w:val="24"/>
          <w:u w:val="none"/>
        </w:rPr>
        <w:t xml:space="preserve">23. </w:t>
      </w:r>
      <w:r>
        <w:rPr>
          <w:rFonts w:ascii="Times New Roman" w:hAnsi="Times New Roman"/>
          <w:b/>
          <w:i w:val="0"/>
          <w:sz w:val="24"/>
          <w:u w:val="none"/>
        </w:rPr>
        <w:t>The COA is too slow.</w:t>
      </w:r>
      <w:r>
        <w:rPr>
          <w:rFonts w:ascii="Times New Roman" w:hAnsi="Times New Roman"/>
          <w:b w:val="0"/>
          <w:i w:val="0"/>
          <w:sz w:val="24"/>
          <w:u w:val="none"/>
        </w:rPr>
        <w:t xml:space="preserve"> Case No. 366810 was filed in June 2025. The last substantive docket activity was September 2025 — over three months ago. Normal COA briefing schedules contemplate 6–12 additional months for briefing and decision. The child will be 4+ years old before any COA ruling — meaning he will have spent half his life separated from his father.</w:t>
      </w:r>
    </w:p>
    <w:p>
      <w:pPr>
        <w:spacing w:after="0" w:before="0" w:line="480" w:lineRule="auto"/>
        <w:ind w:firstLine="720"/>
        <w:jc w:val="left"/>
      </w:pPr>
      <w:r>
        <w:rPr>
          <w:rFonts w:ascii="Times New Roman" w:hAnsi="Times New Roman"/>
          <w:b/>
          <w:i w:val="0"/>
          <w:sz w:val="24"/>
          <w:u w:val="none"/>
        </w:rPr>
        <w:t xml:space="preserve">24. </w:t>
      </w:r>
      <w:r>
        <w:rPr>
          <w:rFonts w:ascii="Times New Roman" w:hAnsi="Times New Roman"/>
          <w:b/>
          <w:i w:val="0"/>
          <w:sz w:val="24"/>
          <w:u w:val="none"/>
        </w:rPr>
        <w:t>The lower court is hostile and blocked.</w:t>
      </w:r>
      <w:r>
        <w:rPr>
          <w:rFonts w:ascii="Times New Roman" w:hAnsi="Times New Roman"/>
          <w:b w:val="0"/>
          <w:i w:val="0"/>
          <w:sz w:val="24"/>
          <w:u w:val="none"/>
        </w:rPr>
        <w:t xml:space="preserve"> The $250-per-motion bond prevents Father from filing any motions. The 44% ex parte rate demonstrates systemic bias. The self-ruling on disqualification demonstrates that internal corrective mechanisms have failed. The systematic muting of Father at hearings demonstrates that the lower court is not a forum where Father can obtain relief.</w:t>
      </w:r>
    </w:p>
    <w:p>
      <w:pPr>
        <w:spacing w:after="0" w:before="0" w:line="480" w:lineRule="auto"/>
        <w:ind w:firstLine="720"/>
        <w:jc w:val="left"/>
      </w:pPr>
      <w:r>
        <w:rPr>
          <w:rFonts w:ascii="Times New Roman" w:hAnsi="Times New Roman"/>
          <w:b/>
          <w:i w:val="0"/>
          <w:sz w:val="24"/>
          <w:u w:val="none"/>
        </w:rPr>
        <w:t xml:space="preserve">25. </w:t>
      </w:r>
      <w:r>
        <w:rPr>
          <w:rFonts w:ascii="Times New Roman" w:hAnsi="Times New Roman"/>
          <w:b/>
          <w:i w:val="0"/>
          <w:sz w:val="24"/>
          <w:u w:val="none"/>
        </w:rPr>
        <w:t>Normal channels are functionally closed.</w:t>
      </w:r>
      <w:r>
        <w:rPr>
          <w:rFonts w:ascii="Times New Roman" w:hAnsi="Times New Roman"/>
          <w:b w:val="0"/>
          <w:i w:val="0"/>
          <w:sz w:val="24"/>
          <w:u w:val="none"/>
        </w:rPr>
        <w:t xml:space="preserve"> Father has no mechanism to restore parenting time in the lower court (blocked by bond), cannot obtain timely relief from the COA (7+ months with no action), and the child continues to suffer irreparable harm every single day. MSC emergency intervention under MCR 7.305(F) is the only viable path to relief.</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IV. LIKELIHOOD OF SUCCESS ON THE MERITS</w:t>
      </w:r>
    </w:p>
    <w:p>
      <w:pPr>
        <w:spacing w:after="0" w:before="0" w:line="480" w:lineRule="auto"/>
        <w:ind w:firstLine="720"/>
        <w:jc w:val="left"/>
      </w:pPr>
      <w:r>
        <w:rPr>
          <w:rFonts w:ascii="Times New Roman" w:hAnsi="Times New Roman"/>
          <w:b/>
          <w:i w:val="0"/>
          <w:sz w:val="24"/>
          <w:u w:val="none"/>
        </w:rPr>
        <w:t xml:space="preserve">26. </w:t>
      </w:r>
      <w:r>
        <w:rPr>
          <w:rFonts w:ascii="Times New Roman" w:hAnsi="Times New Roman"/>
          <w:b w:val="0"/>
          <w:i w:val="0"/>
          <w:sz w:val="24"/>
          <w:u w:val="none"/>
        </w:rPr>
        <w:t>Petitioner's likelihood of success on the merits is overwhelming. The evidentiary record establishes:</w:t>
      </w:r>
    </w:p>
    <w:p>
      <w:pPr>
        <w:spacing w:after="0" w:before="0" w:line="480" w:lineRule="auto"/>
        <w:ind w:left="720"/>
        <w:jc w:val="left"/>
      </w:pPr>
      <w:r>
        <w:rPr>
          <w:rFonts w:ascii="Times New Roman" w:hAnsi="Times New Roman"/>
          <w:b/>
          <w:i w:val="0"/>
          <w:sz w:val="24"/>
          <w:u w:val="none"/>
        </w:rPr>
        <w:t xml:space="preserve">a. </w:t>
      </w:r>
      <w:r>
        <w:rPr>
          <w:rFonts w:ascii="Times New Roman" w:hAnsi="Times New Roman"/>
          <w:b/>
          <w:i w:val="0"/>
          <w:sz w:val="24"/>
          <w:u w:val="none"/>
        </w:rPr>
        <w:t>1,127 documented judicial violations</w:t>
      </w:r>
      <w:r>
        <w:rPr>
          <w:rFonts w:ascii="Times New Roman" w:hAnsi="Times New Roman"/>
          <w:b w:val="0"/>
          <w:i w:val="0"/>
          <w:sz w:val="24"/>
          <w:u w:val="none"/>
        </w:rPr>
        <w:t xml:space="preserve"> by Judge McNeill, catalogued and verified against MCR, MCL, MRE, and the Michigan Code of Judicial Conduct;</w:t>
      </w:r>
    </w:p>
    <w:p>
      <w:pPr>
        <w:spacing w:after="0" w:before="0" w:line="480" w:lineRule="auto"/>
        <w:ind w:left="720"/>
        <w:jc w:val="left"/>
      </w:pPr>
      <w:r>
        <w:rPr>
          <w:rFonts w:ascii="Times New Roman" w:hAnsi="Times New Roman"/>
          <w:b/>
          <w:i w:val="0"/>
          <w:sz w:val="24"/>
          <w:u w:val="none"/>
        </w:rPr>
        <w:t xml:space="preserve">b. </w:t>
      </w:r>
      <w:r>
        <w:rPr>
          <w:rFonts w:ascii="Times New Roman" w:hAnsi="Times New Roman"/>
          <w:b/>
          <w:i w:val="0"/>
          <w:sz w:val="24"/>
          <w:u w:val="none"/>
        </w:rPr>
        <w:t>10,672 documented contradictions</w:t>
      </w:r>
      <w:r>
        <w:rPr>
          <w:rFonts w:ascii="Times New Roman" w:hAnsi="Times New Roman"/>
          <w:b w:val="0"/>
          <w:i w:val="0"/>
          <w:sz w:val="24"/>
          <w:u w:val="none"/>
        </w:rPr>
        <w:t xml:space="preserve"> in the case record, including judicial statements in transcripts that directly contradict written orders;</w:t>
      </w:r>
    </w:p>
    <w:p>
      <w:pPr>
        <w:spacing w:after="0" w:before="0" w:line="480" w:lineRule="auto"/>
        <w:ind w:left="720"/>
        <w:jc w:val="left"/>
      </w:pPr>
      <w:r>
        <w:rPr>
          <w:rFonts w:ascii="Times New Roman" w:hAnsi="Times New Roman"/>
          <w:b/>
          <w:i w:val="0"/>
          <w:sz w:val="24"/>
          <w:u w:val="none"/>
        </w:rPr>
        <w:t xml:space="preserve">c. </w:t>
      </w:r>
      <w:r>
        <w:rPr>
          <w:rFonts w:ascii="Times New Roman" w:hAnsi="Times New Roman"/>
          <w:b/>
          <w:i w:val="0"/>
          <w:sz w:val="24"/>
          <w:u w:val="none"/>
        </w:rPr>
        <w:t>15,171 impeachment items</w:t>
      </w:r>
      <w:r>
        <w:rPr>
          <w:rFonts w:ascii="Times New Roman" w:hAnsi="Times New Roman"/>
          <w:b w:val="0"/>
          <w:i w:val="0"/>
          <w:sz w:val="24"/>
          <w:u w:val="none"/>
        </w:rPr>
        <w:t xml:space="preserve"> catalogued across all witnesses and the judicial record;</w:t>
      </w:r>
    </w:p>
    <w:p>
      <w:pPr>
        <w:spacing w:after="0" w:before="0" w:line="480" w:lineRule="auto"/>
        <w:ind w:left="720"/>
        <w:jc w:val="left"/>
      </w:pPr>
      <w:r>
        <w:rPr>
          <w:rFonts w:ascii="Times New Roman" w:hAnsi="Times New Roman"/>
          <w:b/>
          <w:i w:val="0"/>
          <w:sz w:val="24"/>
          <w:u w:val="none"/>
        </w:rPr>
        <w:t xml:space="preserve">d. </w:t>
      </w:r>
      <w:r>
        <w:rPr>
          <w:rFonts w:ascii="Times New Roman" w:hAnsi="Times New Roman"/>
          <w:b/>
          <w:i w:val="0"/>
          <w:sz w:val="24"/>
          <w:u w:val="none"/>
        </w:rPr>
        <w:t>Zero (0) compliance</w:t>
      </w:r>
      <w:r>
        <w:rPr>
          <w:rFonts w:ascii="Times New Roman" w:hAnsi="Times New Roman"/>
          <w:b w:val="0"/>
          <w:i w:val="0"/>
          <w:sz w:val="24"/>
          <w:u w:val="none"/>
        </w:rPr>
        <w:t xml:space="preserve"> with MCR 3.207(C)(2) for any of the 24 ex parte orders;</w:t>
      </w:r>
    </w:p>
    <w:p>
      <w:pPr>
        <w:spacing w:after="0" w:before="0" w:line="480" w:lineRule="auto"/>
        <w:ind w:left="720"/>
        <w:jc w:val="left"/>
      </w:pPr>
      <w:r>
        <w:rPr>
          <w:rFonts w:ascii="Times New Roman" w:hAnsi="Times New Roman"/>
          <w:b/>
          <w:i w:val="0"/>
          <w:sz w:val="24"/>
          <w:u w:val="none"/>
        </w:rPr>
        <w:t xml:space="preserve">e. </w:t>
      </w:r>
      <w:r>
        <w:rPr>
          <w:rFonts w:ascii="Times New Roman" w:hAnsi="Times New Roman"/>
          <w:b/>
          <w:i w:val="0"/>
          <w:sz w:val="24"/>
          <w:u w:val="none"/>
        </w:rPr>
        <w:t>Zero (0) best-interest-factor hearings</w:t>
      </w:r>
      <w:r>
        <w:rPr>
          <w:rFonts w:ascii="Times New Roman" w:hAnsi="Times New Roman"/>
          <w:b w:val="0"/>
          <w:i w:val="0"/>
          <w:sz w:val="24"/>
          <w:u w:val="none"/>
        </w:rPr>
        <w:t xml:space="preserve"> in 567+ days of total separation;</w:t>
      </w:r>
    </w:p>
    <w:p>
      <w:pPr>
        <w:spacing w:after="0" w:before="0" w:line="480" w:lineRule="auto"/>
        <w:ind w:left="720"/>
        <w:jc w:val="left"/>
      </w:pPr>
      <w:r>
        <w:rPr>
          <w:rFonts w:ascii="Times New Roman" w:hAnsi="Times New Roman"/>
          <w:b/>
          <w:i w:val="0"/>
          <w:sz w:val="24"/>
          <w:u w:val="none"/>
        </w:rPr>
        <w:t xml:space="preserve">f. </w:t>
      </w:r>
      <w:r>
        <w:rPr>
          <w:rFonts w:ascii="Times New Roman" w:hAnsi="Times New Roman"/>
          <w:b/>
          <w:i w:val="0"/>
          <w:sz w:val="24"/>
          <w:u w:val="none"/>
        </w:rPr>
        <w:t>Zero (0) sworn testimony or verified evidence</w:t>
      </w:r>
      <w:r>
        <w:rPr>
          <w:rFonts w:ascii="Times New Roman" w:hAnsi="Times New Roman"/>
          <w:b w:val="0"/>
          <w:i w:val="0"/>
          <w:sz w:val="24"/>
          <w:u w:val="none"/>
        </w:rPr>
        <w:t xml:space="preserve"> supporting the ex parte suspension of parenting time; and</w:t>
      </w:r>
    </w:p>
    <w:p>
      <w:pPr>
        <w:spacing w:after="0" w:before="0" w:line="480" w:lineRule="auto"/>
        <w:ind w:left="720"/>
        <w:jc w:val="left"/>
      </w:pPr>
      <w:r>
        <w:rPr>
          <w:rFonts w:ascii="Times New Roman" w:hAnsi="Times New Roman"/>
          <w:b/>
          <w:i w:val="0"/>
          <w:sz w:val="24"/>
          <w:u w:val="none"/>
        </w:rPr>
        <w:t xml:space="preserve">g. </w:t>
      </w:r>
      <w:r>
        <w:rPr>
          <w:rFonts w:ascii="Times New Roman" w:hAnsi="Times New Roman"/>
          <w:b/>
          <w:i w:val="0"/>
          <w:sz w:val="24"/>
          <w:u w:val="none"/>
        </w:rPr>
        <w:t>All five MSC jurisdictional elements fully met</w:t>
      </w:r>
      <w:r>
        <w:rPr>
          <w:rFonts w:ascii="Times New Roman" w:hAnsi="Times New Roman"/>
          <w:b w:val="0"/>
          <w:i w:val="0"/>
          <w:sz w:val="24"/>
          <w:u w:val="none"/>
        </w:rPr>
        <w:t>: (1) MSC original jurisdiction under Const 1963, art 6, § 4; (2) superintending control authority under MCR 7.306(A); (3) review of COA pending case under MCR 7.303(B)(1); (4) no other adequate remedy (</w:t>
      </w:r>
      <w:r>
        <w:rPr>
          <w:rFonts w:ascii="Times New Roman" w:hAnsi="Times New Roman"/>
          <w:b w:val="0"/>
          <w:i/>
          <w:sz w:val="24"/>
          <w:u w:val="none"/>
        </w:rPr>
        <w:t>Lapeer County Clerk v. Lapeer Circuit Court</w:t>
      </w:r>
      <w:r>
        <w:rPr>
          <w:rFonts w:ascii="Times New Roman" w:hAnsi="Times New Roman"/>
          <w:b w:val="0"/>
          <w:i w:val="0"/>
          <w:sz w:val="24"/>
          <w:u w:val="none"/>
        </w:rPr>
        <w:t>, 469 Mich 146 (2003)); and (5) lower court acting beyond its jurisdiction.</w:t>
      </w:r>
    </w:p>
    <w:p>
      <w:pPr>
        <w:spacing w:after="0" w:before="0" w:line="480" w:lineRule="auto"/>
        <w:ind w:firstLine="720"/>
        <w:jc w:val="left"/>
      </w:pPr>
      <w:r>
        <w:rPr>
          <w:rFonts w:ascii="Times New Roman" w:hAnsi="Times New Roman"/>
          <w:b/>
          <w:i w:val="0"/>
          <w:sz w:val="24"/>
          <w:u w:val="none"/>
        </w:rPr>
        <w:t xml:space="preserve">27. </w:t>
      </w:r>
      <w:r>
        <w:rPr>
          <w:rFonts w:ascii="Times New Roman" w:hAnsi="Times New Roman"/>
          <w:b w:val="0"/>
          <w:i w:val="0"/>
          <w:sz w:val="24"/>
          <w:u w:val="none"/>
        </w:rPr>
        <w:t>The standard of review is abuse of discretion for custody decisions (</w:t>
      </w:r>
      <w:r>
        <w:rPr>
          <w:rFonts w:ascii="Times New Roman" w:hAnsi="Times New Roman"/>
          <w:b w:val="0"/>
          <w:i/>
          <w:sz w:val="24"/>
          <w:u w:val="none"/>
        </w:rPr>
        <w:t>Vodvarka v. Grasmeyer</w:t>
      </w:r>
      <w:r>
        <w:rPr>
          <w:rFonts w:ascii="Times New Roman" w:hAnsi="Times New Roman"/>
          <w:b w:val="0"/>
          <w:i w:val="0"/>
          <w:sz w:val="24"/>
          <w:u w:val="none"/>
        </w:rPr>
        <w:t>, 259 Mich App 499, 508 (2003)) and plain error for unpreserved issues (</w:t>
      </w:r>
      <w:r>
        <w:rPr>
          <w:rFonts w:ascii="Times New Roman" w:hAnsi="Times New Roman"/>
          <w:b w:val="0"/>
          <w:i/>
          <w:sz w:val="24"/>
          <w:u w:val="none"/>
        </w:rPr>
        <w:t>People v. Carines</w:t>
      </w:r>
      <w:r>
        <w:rPr>
          <w:rFonts w:ascii="Times New Roman" w:hAnsi="Times New Roman"/>
          <w:b w:val="0"/>
          <w:i w:val="0"/>
          <w:sz w:val="24"/>
          <w:u w:val="none"/>
        </w:rPr>
        <w:t>, 460 Mich 750, 763 (1999)). Where a trial court enters 24 ex parte orders without compliance with MCR 3.207(C)(2), suspends all parenting time for 567+ days without a BIF hearing, imposes an unconstitutional filing bond, and self-rules on its own disqualification — the abuse of discretion is manifest and the error is plain.</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V. BALANCE OF EQUITIES</w:t>
      </w:r>
    </w:p>
    <w:p>
      <w:pPr>
        <w:spacing w:after="0" w:before="0" w:line="480" w:lineRule="auto"/>
        <w:jc w:val="left"/>
      </w:pPr>
      <w:r>
        <w:rPr>
          <w:rFonts w:ascii="Times New Roman" w:hAnsi="Times New Roman"/>
          <w:b/>
          <w:i w:val="0"/>
          <w:sz w:val="24"/>
          <w:u w:val="single"/>
        </w:rPr>
        <w:t>A. Harm to Father and Child (EXTREME — Documented)</w:t>
      </w:r>
    </w:p>
    <w:p>
      <w:pPr>
        <w:spacing w:after="0" w:before="0" w:line="480" w:lineRule="auto"/>
        <w:ind w:firstLine="720"/>
        <w:jc w:val="left"/>
      </w:pPr>
      <w:r>
        <w:rPr>
          <w:rFonts w:ascii="Times New Roman" w:hAnsi="Times New Roman"/>
          <w:b/>
          <w:i w:val="0"/>
          <w:sz w:val="24"/>
          <w:u w:val="none"/>
        </w:rPr>
        <w:t xml:space="preserve">28. </w:t>
      </w:r>
      <w:r>
        <w:rPr>
          <w:rFonts w:ascii="Times New Roman" w:hAnsi="Times New Roman"/>
          <w:b w:val="0"/>
          <w:i w:val="0"/>
          <w:sz w:val="24"/>
          <w:u w:val="none"/>
        </w:rPr>
        <w:t xml:space="preserve">Father has been completely separated from his child for </w:t>
      </w:r>
      <w:r>
        <w:rPr>
          <w:rFonts w:ascii="Times New Roman" w:hAnsi="Times New Roman"/>
          <w:b/>
          <w:i w:val="0"/>
          <w:sz w:val="24"/>
          <w:u w:val="none"/>
        </w:rPr>
        <w:t>567+ consecutive days</w:t>
      </w:r>
      <w:r>
        <w:rPr>
          <w:rFonts w:ascii="Times New Roman" w:hAnsi="Times New Roman"/>
          <w:b w:val="0"/>
          <w:i w:val="0"/>
          <w:sz w:val="24"/>
          <w:u w:val="none"/>
        </w:rPr>
        <w:t xml:space="preserve">. This is not a reduction in parenting time. This is not supervised visitation. This is a </w:t>
      </w:r>
      <w:r>
        <w:rPr>
          <w:rFonts w:ascii="Times New Roman" w:hAnsi="Times New Roman"/>
          <w:b/>
          <w:i w:val="0"/>
          <w:sz w:val="24"/>
          <w:u w:val="none"/>
        </w:rPr>
        <w:t>total deprivation</w:t>
      </w:r>
      <w:r>
        <w:rPr>
          <w:rFonts w:ascii="Times New Roman" w:hAnsi="Times New Roman"/>
          <w:b w:val="0"/>
          <w:i w:val="0"/>
          <w:sz w:val="24"/>
          <w:u w:val="none"/>
        </w:rPr>
        <w:t xml:space="preserve"> of the fundamental parental liberty interest — the most extreme interference with parental rights short of termination.</w:t>
      </w:r>
    </w:p>
    <w:p>
      <w:pPr>
        <w:spacing w:after="0" w:before="0" w:line="480" w:lineRule="auto"/>
        <w:ind w:firstLine="720"/>
        <w:jc w:val="left"/>
      </w:pPr>
      <w:r>
        <w:rPr>
          <w:rFonts w:ascii="Times New Roman" w:hAnsi="Times New Roman"/>
          <w:b/>
          <w:i w:val="0"/>
          <w:sz w:val="24"/>
          <w:u w:val="none"/>
        </w:rPr>
        <w:t xml:space="preserve">29. </w:t>
      </w:r>
      <w:r>
        <w:rPr>
          <w:rFonts w:ascii="Times New Roman" w:hAnsi="Times New Roman"/>
          <w:b w:val="0"/>
          <w:i w:val="0"/>
          <w:sz w:val="24"/>
          <w:u w:val="none"/>
        </w:rPr>
        <w:t>The child is losing irreplaceable formative years. The Court's own finding that both parents have a "strong bond" with the child is being rendered meaningless by the duration of the separation.</w:t>
      </w:r>
    </w:p>
    <w:p>
      <w:pPr>
        <w:spacing w:after="0" w:before="0" w:line="480" w:lineRule="auto"/>
        <w:ind w:firstLine="720"/>
        <w:jc w:val="left"/>
      </w:pPr>
      <w:r>
        <w:rPr>
          <w:rFonts w:ascii="Times New Roman" w:hAnsi="Times New Roman"/>
          <w:b/>
          <w:i w:val="0"/>
          <w:sz w:val="24"/>
          <w:u w:val="none"/>
        </w:rPr>
        <w:t xml:space="preserve">30. </w:t>
      </w:r>
      <w:r>
        <w:rPr>
          <w:rFonts w:ascii="Times New Roman" w:hAnsi="Times New Roman"/>
          <w:b w:val="0"/>
          <w:i w:val="0"/>
          <w:sz w:val="24"/>
          <w:u w:val="none"/>
        </w:rPr>
        <w:t>Father has been silenced in court — muted at hearings, cut off mid-objection, told the judge would not review his filings. Father has been economically blocked from the court — the $250-per-motion bond prevents all access to judicial relief. Father has no remaining remedy in any lower forum.</w:t>
      </w:r>
    </w:p>
    <w:p>
      <w:pPr>
        <w:spacing w:after="0" w:before="0" w:line="480" w:lineRule="auto"/>
        <w:jc w:val="left"/>
      </w:pPr>
      <w:r>
        <w:rPr>
          <w:rFonts w:ascii="Times New Roman" w:hAnsi="Times New Roman"/>
          <w:b/>
          <w:i w:val="0"/>
          <w:sz w:val="24"/>
          <w:u w:val="single"/>
        </w:rPr>
        <w:t>B. Harm to Mother (UNSUPPORTED — Analyzed)</w:t>
      </w:r>
    </w:p>
    <w:p>
      <w:pPr>
        <w:spacing w:after="0" w:before="0" w:line="480" w:lineRule="auto"/>
        <w:ind w:firstLine="720"/>
        <w:jc w:val="left"/>
      </w:pPr>
      <w:r>
        <w:rPr>
          <w:rFonts w:ascii="Times New Roman" w:hAnsi="Times New Roman"/>
          <w:b/>
          <w:i w:val="0"/>
          <w:sz w:val="24"/>
          <w:u w:val="none"/>
        </w:rPr>
        <w:t xml:space="preserve">31. </w:t>
      </w:r>
      <w:r>
        <w:rPr>
          <w:rFonts w:ascii="Times New Roman" w:hAnsi="Times New Roman"/>
          <w:b w:val="0"/>
          <w:i w:val="0"/>
          <w:sz w:val="24"/>
          <w:u w:val="none"/>
        </w:rPr>
        <w:t xml:space="preserve">The allegations underlying the ex parte suspension have been exhaustively examined against the evidentiary record. </w:t>
      </w:r>
      <w:r>
        <w:rPr>
          <w:rFonts w:ascii="Times New Roman" w:hAnsi="Times New Roman"/>
          <w:b/>
          <w:i w:val="0"/>
          <w:sz w:val="24"/>
          <w:u w:val="none"/>
        </w:rPr>
        <w:t>Twenty-nine (29) claims</w:t>
      </w:r>
      <w:r>
        <w:rPr>
          <w:rFonts w:ascii="Times New Roman" w:hAnsi="Times New Roman"/>
          <w:b w:val="0"/>
          <w:i w:val="0"/>
          <w:sz w:val="24"/>
          <w:u w:val="none"/>
        </w:rPr>
        <w:t xml:space="preserve"> alleging danger, threat, or harm to the child have been analyzed. The results:</w:t>
      </w:r>
    </w:p>
    <w:p>
      <w:pPr>
        <w:spacing w:after="0" w:before="0" w:line="480" w:lineRule="auto"/>
        <w:ind w:left="720"/>
        <w:jc w:val="left"/>
      </w:pPr>
      <w:r>
        <w:rPr>
          <w:rFonts w:ascii="Times New Roman" w:hAnsi="Times New Roman"/>
          <w:b/>
          <w:i w:val="0"/>
          <w:sz w:val="24"/>
          <w:u w:val="none"/>
        </w:rPr>
        <w:t xml:space="preserve">a. </w:t>
      </w:r>
      <w:r>
        <w:rPr>
          <w:rFonts w:ascii="Times New Roman" w:hAnsi="Times New Roman"/>
          <w:b w:val="0"/>
          <w:i w:val="0"/>
          <w:sz w:val="24"/>
          <w:u w:val="none"/>
        </w:rPr>
        <w:t>The ex parte motion did not set out specific, immediate, irreparable harm as required by MCR 3.207(B)(1);</w:t>
      </w:r>
    </w:p>
    <w:p>
      <w:pPr>
        <w:spacing w:after="0" w:before="0" w:line="480" w:lineRule="auto"/>
        <w:ind w:left="720"/>
        <w:jc w:val="left"/>
      </w:pPr>
      <w:r>
        <w:rPr>
          <w:rFonts w:ascii="Times New Roman" w:hAnsi="Times New Roman"/>
          <w:b/>
          <w:i w:val="0"/>
          <w:sz w:val="24"/>
          <w:u w:val="none"/>
        </w:rPr>
        <w:t xml:space="preserve">b. </w:t>
      </w:r>
      <w:r>
        <w:rPr>
          <w:rFonts w:ascii="Times New Roman" w:hAnsi="Times New Roman"/>
          <w:b w:val="0"/>
          <w:i w:val="0"/>
          <w:sz w:val="24"/>
          <w:u w:val="none"/>
        </w:rPr>
        <w:t>The allegations were unsworn — no verified pleading or affidavit was submitted;</w:t>
      </w:r>
    </w:p>
    <w:p>
      <w:pPr>
        <w:spacing w:after="0" w:before="0" w:line="480" w:lineRule="auto"/>
        <w:ind w:left="720"/>
        <w:jc w:val="left"/>
      </w:pPr>
      <w:r>
        <w:rPr>
          <w:rFonts w:ascii="Times New Roman" w:hAnsi="Times New Roman"/>
          <w:b/>
          <w:i w:val="0"/>
          <w:sz w:val="24"/>
          <w:u w:val="none"/>
        </w:rPr>
        <w:t xml:space="preserve">c. </w:t>
      </w:r>
      <w:r>
        <w:rPr>
          <w:rFonts w:ascii="Times New Roman" w:hAnsi="Times New Roman"/>
          <w:b w:val="0"/>
          <w:i w:val="0"/>
          <w:sz w:val="24"/>
          <w:u w:val="none"/>
        </w:rPr>
        <w:t>No admissible evidence under MRE 602, 801, or 901 was presented;</w:t>
      </w:r>
    </w:p>
    <w:p>
      <w:pPr>
        <w:spacing w:after="0" w:before="0" w:line="480" w:lineRule="auto"/>
        <w:ind w:left="720"/>
        <w:jc w:val="left"/>
      </w:pPr>
      <w:r>
        <w:rPr>
          <w:rFonts w:ascii="Times New Roman" w:hAnsi="Times New Roman"/>
          <w:b/>
          <w:i w:val="0"/>
          <w:sz w:val="24"/>
          <w:u w:val="none"/>
        </w:rPr>
        <w:t xml:space="preserve">d. </w:t>
      </w:r>
      <w:r>
        <w:rPr>
          <w:rFonts w:ascii="Times New Roman" w:hAnsi="Times New Roman"/>
          <w:b w:val="0"/>
          <w:i w:val="0"/>
          <w:sz w:val="24"/>
          <w:u w:val="none"/>
        </w:rPr>
        <w:t>The allegations are contradicted by the Court's own prior findings; and</w:t>
      </w:r>
    </w:p>
    <w:p>
      <w:pPr>
        <w:spacing w:after="0" w:before="0" w:line="480" w:lineRule="auto"/>
        <w:ind w:left="720"/>
        <w:jc w:val="left"/>
      </w:pPr>
      <w:r>
        <w:rPr>
          <w:rFonts w:ascii="Times New Roman" w:hAnsi="Times New Roman"/>
          <w:b/>
          <w:i w:val="0"/>
          <w:sz w:val="24"/>
          <w:u w:val="none"/>
        </w:rPr>
        <w:t xml:space="preserve">e. </w:t>
      </w:r>
      <w:r>
        <w:rPr>
          <w:rFonts w:ascii="Times New Roman" w:hAnsi="Times New Roman"/>
          <w:b w:val="0"/>
          <w:i w:val="0"/>
          <w:sz w:val="24"/>
          <w:u w:val="none"/>
        </w:rPr>
        <w:t>Mother presented zero BIF analysis and zero verified evidence to support continued separation.</w:t>
      </w:r>
    </w:p>
    <w:p>
      <w:pPr>
        <w:spacing w:after="0" w:before="0" w:line="480" w:lineRule="auto"/>
        <w:ind w:firstLine="720"/>
        <w:jc w:val="left"/>
      </w:pPr>
      <w:r>
        <w:rPr>
          <w:rFonts w:ascii="Times New Roman" w:hAnsi="Times New Roman"/>
          <w:b/>
          <w:i w:val="0"/>
          <w:sz w:val="24"/>
          <w:u w:val="none"/>
        </w:rPr>
        <w:t xml:space="preserve">32. </w:t>
      </w:r>
      <w:r>
        <w:rPr>
          <w:rFonts w:ascii="Times New Roman" w:hAnsi="Times New Roman"/>
          <w:b w:val="0"/>
          <w:i w:val="0"/>
          <w:sz w:val="24"/>
          <w:u w:val="none"/>
        </w:rPr>
        <w:t>Granting Father's requested relief — restoration of parenting time pending proper proceedings — does not harm Mother. It restores the status quo that existed before the defective ex parte orders. Mother retains all rights to seek modification of custody through proper proceedings with notice, hearing, and evidence — the procedural protections that were denied to Father.</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VI. SPECIFIC RELIEF REQUESTED</w:t>
      </w:r>
    </w:p>
    <w:p>
      <w:pPr>
        <w:spacing w:after="0" w:before="0" w:line="480" w:lineRule="auto"/>
        <w:ind w:firstLine="720"/>
        <w:jc w:val="left"/>
      </w:pPr>
      <w:r>
        <w:rPr>
          <w:rFonts w:ascii="Times New Roman" w:hAnsi="Times New Roman"/>
          <w:b/>
          <w:i w:val="0"/>
          <w:sz w:val="24"/>
          <w:u w:val="none"/>
        </w:rPr>
        <w:t xml:space="preserve">33. </w:t>
      </w:r>
      <w:r>
        <w:rPr>
          <w:rFonts w:ascii="Times New Roman" w:hAnsi="Times New Roman"/>
          <w:b w:val="0"/>
          <w:i w:val="0"/>
          <w:sz w:val="24"/>
          <w:u w:val="none"/>
        </w:rPr>
        <w:t>Petitioner respectfully requests that this Honorable Court:</w:t>
      </w:r>
    </w:p>
    <w:p>
      <w:pPr>
        <w:spacing w:after="0" w:before="0" w:line="480" w:lineRule="auto"/>
        <w:ind w:left="720"/>
        <w:jc w:val="left"/>
      </w:pPr>
      <w:r>
        <w:rPr>
          <w:rFonts w:ascii="Times New Roman" w:hAnsi="Times New Roman"/>
          <w:b/>
          <w:i w:val="0"/>
          <w:sz w:val="24"/>
          <w:u w:val="none"/>
        </w:rPr>
        <w:t xml:space="preserve">a. </w:t>
      </w:r>
      <w:r>
        <w:rPr>
          <w:rFonts w:ascii="Times New Roman" w:hAnsi="Times New Roman"/>
          <w:b/>
          <w:i w:val="0"/>
          <w:sz w:val="24"/>
          <w:u w:val="none"/>
        </w:rPr>
        <w:t>GRANT</w:t>
      </w:r>
      <w:r>
        <w:rPr>
          <w:rFonts w:ascii="Times New Roman" w:hAnsi="Times New Roman"/>
          <w:b w:val="0"/>
          <w:i w:val="0"/>
          <w:sz w:val="24"/>
          <w:u w:val="none"/>
        </w:rPr>
        <w:t xml:space="preserve"> this Emergency Application for Immediate Consideration pursuant to MCR 7.305(F) and MCR 7.315(C);</w:t>
      </w:r>
    </w:p>
    <w:p>
      <w:pPr>
        <w:spacing w:after="0" w:before="0" w:line="480" w:lineRule="auto"/>
        <w:ind w:left="720"/>
        <w:jc w:val="left"/>
      </w:pPr>
      <w:r>
        <w:rPr>
          <w:rFonts w:ascii="Times New Roman" w:hAnsi="Times New Roman"/>
          <w:b/>
          <w:i w:val="0"/>
          <w:sz w:val="24"/>
          <w:u w:val="none"/>
        </w:rPr>
        <w:t xml:space="preserve">b. </w:t>
      </w:r>
      <w:r>
        <w:rPr>
          <w:rFonts w:ascii="Times New Roman" w:hAnsi="Times New Roman"/>
          <w:b/>
          <w:i w:val="0"/>
          <w:sz w:val="24"/>
          <w:u w:val="none"/>
        </w:rPr>
        <w:t>ORDER</w:t>
      </w:r>
      <w:r>
        <w:rPr>
          <w:rFonts w:ascii="Times New Roman" w:hAnsi="Times New Roman"/>
          <w:b w:val="0"/>
          <w:i w:val="0"/>
          <w:sz w:val="24"/>
          <w:u w:val="none"/>
        </w:rPr>
        <w:t xml:space="preserve"> an immediate stay of the August 8, 2025 ex parte orders suspending Father's parenting time, pending resolution of the Complaint for Superintending Control and the appeal in COA 366810;</w:t>
      </w:r>
    </w:p>
    <w:p>
      <w:pPr>
        <w:spacing w:after="0" w:before="0" w:line="480" w:lineRule="auto"/>
        <w:ind w:left="720"/>
        <w:jc w:val="left"/>
      </w:pPr>
      <w:r>
        <w:rPr>
          <w:rFonts w:ascii="Times New Roman" w:hAnsi="Times New Roman"/>
          <w:b/>
          <w:i w:val="0"/>
          <w:sz w:val="24"/>
          <w:u w:val="none"/>
        </w:rPr>
        <w:t xml:space="preserve">c. </w:t>
      </w:r>
      <w:r>
        <w:rPr>
          <w:rFonts w:ascii="Times New Roman" w:hAnsi="Times New Roman"/>
          <w:b/>
          <w:i w:val="0"/>
          <w:sz w:val="24"/>
          <w:u w:val="none"/>
        </w:rPr>
        <w:t>ORDER</w:t>
      </w:r>
      <w:r>
        <w:rPr>
          <w:rFonts w:ascii="Times New Roman" w:hAnsi="Times New Roman"/>
          <w:b w:val="0"/>
          <w:i w:val="0"/>
          <w:sz w:val="24"/>
          <w:u w:val="none"/>
        </w:rPr>
        <w:t xml:space="preserve"> immediate restoration of Father's parenting time with LDW pending resolution, consistent with the parenting-time schedule that existed before August 8, 2025;</w:t>
      </w:r>
    </w:p>
    <w:p>
      <w:pPr>
        <w:spacing w:after="0" w:before="0" w:line="480" w:lineRule="auto"/>
        <w:ind w:left="720"/>
        <w:jc w:val="left"/>
      </w:pPr>
      <w:r>
        <w:rPr>
          <w:rFonts w:ascii="Times New Roman" w:hAnsi="Times New Roman"/>
          <w:b/>
          <w:i w:val="0"/>
          <w:sz w:val="24"/>
          <w:u w:val="none"/>
        </w:rPr>
        <w:t xml:space="preserve">d. </w:t>
      </w:r>
      <w:r>
        <w:rPr>
          <w:rFonts w:ascii="Times New Roman" w:hAnsi="Times New Roman"/>
          <w:b/>
          <w:i w:val="0"/>
          <w:sz w:val="24"/>
          <w:u w:val="none"/>
        </w:rPr>
        <w:t>VACATE</w:t>
      </w:r>
      <w:r>
        <w:rPr>
          <w:rFonts w:ascii="Times New Roman" w:hAnsi="Times New Roman"/>
          <w:b w:val="0"/>
          <w:i w:val="0"/>
          <w:sz w:val="24"/>
          <w:u w:val="none"/>
        </w:rPr>
        <w:t xml:space="preserve"> the $250-per-motion filing bond as an unconstitutional barrier to court access under </w:t>
      </w:r>
      <w:r>
        <w:rPr>
          <w:rFonts w:ascii="Times New Roman" w:hAnsi="Times New Roman"/>
          <w:b w:val="0"/>
          <w:i/>
          <w:sz w:val="24"/>
          <w:u w:val="none"/>
        </w:rPr>
        <w:t>Boddie v. Connecticut</w:t>
      </w:r>
      <w:r>
        <w:rPr>
          <w:rFonts w:ascii="Times New Roman" w:hAnsi="Times New Roman"/>
          <w:b w:val="0"/>
          <w:i w:val="0"/>
          <w:sz w:val="24"/>
          <w:u w:val="none"/>
        </w:rPr>
        <w:t>, 401 U.S. 371 (1971);</w:t>
      </w:r>
    </w:p>
    <w:p>
      <w:pPr>
        <w:spacing w:after="0" w:before="0" w:line="480" w:lineRule="auto"/>
        <w:ind w:left="720"/>
        <w:jc w:val="left"/>
      </w:pPr>
      <w:r>
        <w:rPr>
          <w:rFonts w:ascii="Times New Roman" w:hAnsi="Times New Roman"/>
          <w:b/>
          <w:i w:val="0"/>
          <w:sz w:val="24"/>
          <w:u w:val="none"/>
        </w:rPr>
        <w:t xml:space="preserve">e. </w:t>
      </w:r>
      <w:r>
        <w:rPr>
          <w:rFonts w:ascii="Times New Roman" w:hAnsi="Times New Roman"/>
          <w:b/>
          <w:i w:val="0"/>
          <w:sz w:val="24"/>
          <w:u w:val="none"/>
        </w:rPr>
        <w:t>ORDER</w:t>
      </w:r>
      <w:r>
        <w:rPr>
          <w:rFonts w:ascii="Times New Roman" w:hAnsi="Times New Roman"/>
          <w:b w:val="0"/>
          <w:i w:val="0"/>
          <w:sz w:val="24"/>
          <w:u w:val="none"/>
        </w:rPr>
        <w:t xml:space="preserve"> the 14th Circuit Court to conduct an evidentiary best-interest-factor hearing under MCL 722.23(a)–(l) within 21 days;</w:t>
      </w:r>
    </w:p>
    <w:p>
      <w:pPr>
        <w:spacing w:after="0" w:before="0" w:line="480" w:lineRule="auto"/>
        <w:ind w:left="720"/>
        <w:jc w:val="left"/>
      </w:pPr>
      <w:r>
        <w:rPr>
          <w:rFonts w:ascii="Times New Roman" w:hAnsi="Times New Roman"/>
          <w:b/>
          <w:i w:val="0"/>
          <w:sz w:val="24"/>
          <w:u w:val="none"/>
        </w:rPr>
        <w:t xml:space="preserve">f. </w:t>
      </w:r>
      <w:r>
        <w:rPr>
          <w:rFonts w:ascii="Times New Roman" w:hAnsi="Times New Roman"/>
          <w:b/>
          <w:i w:val="0"/>
          <w:sz w:val="24"/>
          <w:u w:val="none"/>
        </w:rPr>
        <w:t>REASSIGN</w:t>
      </w:r>
      <w:r>
        <w:rPr>
          <w:rFonts w:ascii="Times New Roman" w:hAnsi="Times New Roman"/>
          <w:b w:val="0"/>
          <w:i w:val="0"/>
          <w:sz w:val="24"/>
          <w:u w:val="none"/>
        </w:rPr>
        <w:t xml:space="preserve"> this case from Judge Jenny L. McNeill to a different judge, pursuant to MCR 2.003, based on 1,127 documented violations, self-ruling on disqualification in violation of MCR 2.003(D), and a 44% ex parte rate exclusively favoring one party;</w:t>
      </w:r>
    </w:p>
    <w:p>
      <w:pPr>
        <w:spacing w:after="0" w:before="0" w:line="480" w:lineRule="auto"/>
        <w:ind w:left="720"/>
        <w:jc w:val="left"/>
      </w:pPr>
      <w:r>
        <w:rPr>
          <w:rFonts w:ascii="Times New Roman" w:hAnsi="Times New Roman"/>
          <w:b/>
          <w:i w:val="0"/>
          <w:sz w:val="24"/>
          <w:u w:val="none"/>
        </w:rPr>
        <w:t xml:space="preserve">g. </w:t>
      </w:r>
      <w:r>
        <w:rPr>
          <w:rFonts w:ascii="Times New Roman" w:hAnsi="Times New Roman"/>
          <w:b/>
          <w:i w:val="0"/>
          <w:sz w:val="24"/>
          <w:u w:val="none"/>
        </w:rPr>
        <w:t>EXERCISE</w:t>
      </w:r>
      <w:r>
        <w:rPr>
          <w:rFonts w:ascii="Times New Roman" w:hAnsi="Times New Roman"/>
          <w:b w:val="0"/>
          <w:i w:val="0"/>
          <w:sz w:val="24"/>
          <w:u w:val="none"/>
        </w:rPr>
        <w:t xml:space="preserve"> superintending control over the 14th Circuit Court's handling of this case under Const 1963, art 6, § 4 and MCR 7.306; and</w:t>
      </w:r>
    </w:p>
    <w:p>
      <w:pPr>
        <w:spacing w:after="0" w:before="0" w:line="480" w:lineRule="auto"/>
        <w:ind w:left="720"/>
        <w:jc w:val="left"/>
      </w:pPr>
      <w:r>
        <w:rPr>
          <w:rFonts w:ascii="Times New Roman" w:hAnsi="Times New Roman"/>
          <w:b/>
          <w:i w:val="0"/>
          <w:sz w:val="24"/>
          <w:u w:val="none"/>
        </w:rPr>
        <w:t xml:space="preserve">h. </w:t>
      </w:r>
      <w:r>
        <w:rPr>
          <w:rFonts w:ascii="Times New Roman" w:hAnsi="Times New Roman"/>
          <w:b/>
          <w:i w:val="0"/>
          <w:sz w:val="24"/>
          <w:u w:val="none"/>
        </w:rPr>
        <w:t>ORDER</w:t>
      </w:r>
      <w:r>
        <w:rPr>
          <w:rFonts w:ascii="Times New Roman" w:hAnsi="Times New Roman"/>
          <w:b w:val="0"/>
          <w:i w:val="0"/>
          <w:sz w:val="24"/>
          <w:u w:val="none"/>
        </w:rPr>
        <w:t xml:space="preserve"> the Court of Appeals to expedite briefing and decision in Case No. 366810.</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VII. VERIFICATION</w:t>
      </w:r>
    </w:p>
    <w:p>
      <w:pPr>
        <w:spacing w:after="0" w:before="0" w:line="480" w:lineRule="auto"/>
        <w:ind w:firstLine="720"/>
        <w:jc w:val="left"/>
      </w:pPr>
      <w:r>
        <w:rPr>
          <w:rFonts w:ascii="Times New Roman" w:hAnsi="Times New Roman"/>
          <w:b/>
          <w:i w:val="0"/>
          <w:sz w:val="24"/>
          <w:u w:val="none"/>
        </w:rPr>
        <w:t xml:space="preserve">34. </w:t>
      </w:r>
      <w:r>
        <w:rPr>
          <w:rFonts w:ascii="Times New Roman" w:hAnsi="Times New Roman"/>
          <w:b w:val="0"/>
          <w:i w:val="0"/>
          <w:sz w:val="24"/>
          <w:u w:val="none"/>
        </w:rPr>
        <w:t>I, Andrew Pigors, declare under the penalties of perjury that the facts stated in this Emergency Application are true to the best of my information, knowledge, and belief.</w:t>
      </w:r>
    </w:p>
    <w:p>
      <w:pPr>
        <w:spacing w:after="0" w:before="0" w:line="480" w:lineRule="auto"/>
        <w:ind w:firstLine="720"/>
        <w:jc w:val="left"/>
      </w:pPr>
      <w:r>
        <w:rPr>
          <w:rFonts w:ascii="Times New Roman" w:hAnsi="Times New Roman"/>
          <w:b w:val="0"/>
          <w:i w:val="0"/>
          <w:sz w:val="24"/>
          <w:u w:val="none"/>
        </w:rPr>
        <w:t>Dated: _______________</w:t>
      </w:r>
    </w:p>
    <w:p>
      <w:pPr>
        <w:spacing w:after="0" w:before="0" w:line="480" w:lineRule="auto"/>
        <w:ind w:firstLine="720"/>
        <w:jc w:val="left"/>
      </w:pPr>
      <w:r>
        <w:rPr>
          <w:rFonts w:ascii="Times New Roman" w:hAnsi="Times New Roman"/>
          <w:b w:val="0"/>
          <w:i w:val="0"/>
          <w:sz w:val="24"/>
          <w:u w:val="single"/>
        </w:rPr>
        <w:t>_________________________</w:t>
      </w:r>
    </w:p>
    <w:p>
      <w:pPr>
        <w:spacing w:after="0" w:before="0" w:line="480" w:lineRule="auto"/>
        <w:ind w:firstLine="720"/>
        <w:jc w:val="left"/>
      </w:pPr>
      <w:r>
        <w:rPr>
          <w:rFonts w:ascii="Times New Roman" w:hAnsi="Times New Roman"/>
          <w:b w:val="0"/>
          <w:i w:val="0"/>
          <w:sz w:val="24"/>
          <w:u w:val="none"/>
        </w:rPr>
        <w:t>Andrew Pigors, Pro Se</w:t>
      </w:r>
    </w:p>
    <w:p>
      <w:pPr>
        <w:spacing w:after="0" w:before="0" w:line="480" w:lineRule="auto"/>
        <w:ind w:firstLine="720"/>
        <w:jc w:val="left"/>
      </w:pPr>
      <w:r>
        <w:rPr>
          <w:rFonts w:ascii="Times New Roman" w:hAnsi="Times New Roman"/>
          <w:b w:val="0"/>
          <w:i w:val="0"/>
          <w:sz w:val="24"/>
          <w:u w:val="none"/>
        </w:rPr>
        <w:t>Plaintiff-Appellant / Petitioner</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CERTIFICATE OF SERVICE</w:t>
      </w:r>
    </w:p>
    <w:p>
      <w:pPr>
        <w:spacing w:after="0" w:before="0" w:line="480" w:lineRule="auto"/>
        <w:ind w:firstLine="720"/>
        <w:jc w:val="left"/>
      </w:pPr>
      <w:r>
        <w:rPr>
          <w:rFonts w:ascii="Times New Roman" w:hAnsi="Times New Roman"/>
          <w:b w:val="0"/>
          <w:i w:val="0"/>
          <w:sz w:val="24"/>
          <w:u w:val="none"/>
        </w:rPr>
        <w:t>I, Andrew Pigors, certify that on _____________, 2026, I served a true copy of this Emergency Application for Immediate Consideration on:</w:t>
      </w:r>
    </w:p>
    <w:p>
      <w:pPr>
        <w:spacing w:after="0" w:before="0" w:line="480" w:lineRule="auto"/>
        <w:ind w:firstLine="720"/>
        <w:jc w:val="left"/>
      </w:pPr>
      <w:r>
        <w:rPr>
          <w:rFonts w:ascii="Times New Roman" w:hAnsi="Times New Roman"/>
          <w:b/>
          <w:i w:val="0"/>
          <w:sz w:val="24"/>
          <w:u w:val="none"/>
        </w:rPr>
        <w:t>Tiffany Watson</w:t>
      </w:r>
    </w:p>
    <w:p>
      <w:pPr>
        <w:spacing w:after="0" w:before="0" w:line="480" w:lineRule="auto"/>
        <w:ind w:firstLine="720"/>
        <w:jc w:val="left"/>
      </w:pPr>
      <w:r>
        <w:rPr>
          <w:rFonts w:ascii="Times New Roman" w:hAnsi="Times New Roman"/>
          <w:b w:val="0"/>
          <w:i w:val="0"/>
          <w:sz w:val="24"/>
          <w:u w:val="none"/>
        </w:rPr>
        <w:t>2160 Garland Drive</w:t>
      </w:r>
    </w:p>
    <w:p>
      <w:pPr>
        <w:spacing w:after="0" w:before="0" w:line="480" w:lineRule="auto"/>
        <w:ind w:firstLine="720"/>
        <w:jc w:val="left"/>
      </w:pPr>
      <w:r>
        <w:rPr>
          <w:rFonts w:ascii="Times New Roman" w:hAnsi="Times New Roman"/>
          <w:b w:val="0"/>
          <w:i w:val="0"/>
          <w:sz w:val="24"/>
          <w:u w:val="none"/>
        </w:rPr>
        <w:t>Norton Shores, MI 49441</w:t>
      </w:r>
    </w:p>
    <w:p>
      <w:pPr>
        <w:spacing w:after="0" w:before="0" w:line="480" w:lineRule="auto"/>
        <w:ind w:firstLine="720"/>
        <w:jc w:val="left"/>
      </w:pPr>
      <w:r>
        <w:rPr>
          <w:rFonts w:ascii="Times New Roman" w:hAnsi="Times New Roman"/>
          <w:b w:val="0"/>
          <w:i w:val="0"/>
          <w:sz w:val="24"/>
          <w:u w:val="none"/>
        </w:rPr>
        <w:t>☐ By first-class mail, postage prepaid</w:t>
      </w:r>
    </w:p>
    <w:p>
      <w:pPr>
        <w:spacing w:after="0" w:before="0" w:line="480" w:lineRule="auto"/>
        <w:ind w:firstLine="720"/>
        <w:jc w:val="left"/>
      </w:pPr>
      <w:r>
        <w:rPr>
          <w:rFonts w:ascii="Times New Roman" w:hAnsi="Times New Roman"/>
          <w:b w:val="0"/>
          <w:i w:val="0"/>
          <w:sz w:val="24"/>
          <w:u w:val="none"/>
        </w:rPr>
        <w:t>☐ By personal service</w:t>
      </w:r>
    </w:p>
    <w:p>
      <w:pPr>
        <w:spacing w:after="0" w:before="0" w:line="480" w:lineRule="auto"/>
        <w:ind w:firstLine="720"/>
        <w:jc w:val="left"/>
      </w:pPr>
      <w:r>
        <w:rPr>
          <w:rFonts w:ascii="Times New Roman" w:hAnsi="Times New Roman"/>
          <w:b w:val="0"/>
          <w:i w:val="0"/>
          <w:sz w:val="24"/>
          <w:u w:val="none"/>
        </w:rPr>
        <w:t>☐ By electronic service</w:t>
      </w:r>
    </w:p>
    <w:p>
      <w:pPr>
        <w:spacing w:after="0" w:before="0" w:line="480" w:lineRule="auto"/>
        <w:ind w:firstLine="720"/>
        <w:jc w:val="left"/>
      </w:pPr>
      <w:r>
        <w:rPr>
          <w:rFonts w:ascii="Times New Roman" w:hAnsi="Times New Roman"/>
          <w:b w:val="0"/>
          <w:i w:val="0"/>
          <w:sz w:val="24"/>
          <w:u w:val="single"/>
        </w:rPr>
        <w:t>_________________________</w:t>
      </w:r>
    </w:p>
    <w:p>
      <w:pPr>
        <w:spacing w:after="0" w:before="0" w:line="480" w:lineRule="auto"/>
        <w:ind w:firstLine="720"/>
        <w:jc w:val="left"/>
      </w:pPr>
      <w:r>
        <w:rPr>
          <w:rFonts w:ascii="Times New Roman" w:hAnsi="Times New Roman"/>
          <w:b w:val="0"/>
          <w:i w:val="0"/>
          <w:sz w:val="24"/>
          <w:u w:val="none"/>
        </w:rPr>
        <w:t>Andrew Pigors</w:t>
      </w:r>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jc w:val="center"/>
      </w:pPr>
      <w:r>
        <w:rPr>
          <w:rFonts w:ascii="Times New Roman" w:hAnsi="Times New Roman"/>
          <w:b/>
          <w:i w:val="0"/>
          <w:sz w:val="24"/>
          <w:u w:val="none"/>
        </w:rPr>
        <w:t>EXHIBIT INDEX</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i w:val="0"/>
                <w:sz w:val="20"/>
                <w:u w:val="none"/>
              </w:rPr>
              <w:t>Exhibit</w:t>
            </w:r>
          </w:p>
        </w:tc>
        <w:tc>
          <w:tcPr>
            <w:tcW w:type="dxa" w:w="4680"/>
          </w:tcPr>
          <w:p>
            <w:pPr>
              <w:spacing w:line="240" w:lineRule="auto"/>
            </w:pPr>
            <w:r/>
            <w:r>
              <w:rPr>
                <w:rFonts w:ascii="Times New Roman" w:hAnsi="Times New Roman"/>
                <w:b/>
                <w:i w:val="0"/>
                <w:sz w:val="20"/>
                <w:u w:val="none"/>
              </w:rPr>
              <w:t>Description</w:t>
            </w:r>
          </w:p>
        </w:tc>
      </w:tr>
      <w:tr>
        <w:tc>
          <w:tcPr>
            <w:tcW w:type="dxa" w:w="4680"/>
          </w:tcPr>
          <w:p>
            <w:pPr>
              <w:spacing w:line="240" w:lineRule="auto"/>
            </w:pPr>
            <w:r/>
            <w:r>
              <w:rPr>
                <w:rFonts w:ascii="Times New Roman" w:hAnsi="Times New Roman"/>
                <w:b w:val="0"/>
                <w:i w:val="0"/>
                <w:sz w:val="20"/>
                <w:u w:val="none"/>
              </w:rPr>
              <w:t>A</w:t>
            </w:r>
          </w:p>
        </w:tc>
        <w:tc>
          <w:tcPr>
            <w:tcW w:type="dxa" w:w="4680"/>
          </w:tcPr>
          <w:p>
            <w:pPr>
              <w:spacing w:line="240" w:lineRule="auto"/>
            </w:pPr>
            <w:r/>
            <w:r>
              <w:rPr>
                <w:rFonts w:ascii="Times New Roman" w:hAnsi="Times New Roman"/>
                <w:b w:val="0"/>
                <w:i w:val="0"/>
                <w:sz w:val="20"/>
                <w:u w:val="none"/>
              </w:rPr>
              <w:t>August 8, 2025 Ex Parte Orders (5 orders)</w:t>
            </w:r>
          </w:p>
        </w:tc>
      </w:tr>
      <w:tr>
        <w:tc>
          <w:tcPr>
            <w:tcW w:type="dxa" w:w="4680"/>
          </w:tcPr>
          <w:p>
            <w:pPr>
              <w:spacing w:line="240" w:lineRule="auto"/>
            </w:pPr>
            <w:r/>
            <w:r>
              <w:rPr>
                <w:rFonts w:ascii="Times New Roman" w:hAnsi="Times New Roman"/>
                <w:b w:val="0"/>
                <w:i w:val="0"/>
                <w:sz w:val="20"/>
                <w:u w:val="none"/>
              </w:rPr>
              <w:t>B</w:t>
            </w:r>
          </w:p>
        </w:tc>
        <w:tc>
          <w:tcPr>
            <w:tcW w:type="dxa" w:w="4680"/>
          </w:tcPr>
          <w:p>
            <w:pPr>
              <w:spacing w:line="240" w:lineRule="auto"/>
            </w:pPr>
            <w:r/>
            <w:r>
              <w:rPr>
                <w:rFonts w:ascii="Times New Roman" w:hAnsi="Times New Roman"/>
                <w:b w:val="0"/>
                <w:i w:val="0"/>
                <w:sz w:val="20"/>
                <w:u w:val="none"/>
              </w:rPr>
              <w:t>Declaration of Andrew Pigors — Exchange and Discovery of Suspension</w:t>
            </w:r>
          </w:p>
        </w:tc>
      </w:tr>
      <w:tr>
        <w:tc>
          <w:tcPr>
            <w:tcW w:type="dxa" w:w="4680"/>
          </w:tcPr>
          <w:p>
            <w:pPr>
              <w:spacing w:line="240" w:lineRule="auto"/>
            </w:pPr>
            <w:r/>
            <w:r>
              <w:rPr>
                <w:rFonts w:ascii="Times New Roman" w:hAnsi="Times New Roman"/>
                <w:b w:val="0"/>
                <w:i w:val="0"/>
                <w:sz w:val="20"/>
                <w:u w:val="none"/>
              </w:rPr>
              <w:t>C</w:t>
            </w:r>
          </w:p>
        </w:tc>
        <w:tc>
          <w:tcPr>
            <w:tcW w:type="dxa" w:w="4680"/>
          </w:tcPr>
          <w:p>
            <w:pPr>
              <w:spacing w:line="240" w:lineRule="auto"/>
            </w:pPr>
            <w:r/>
            <w:r>
              <w:rPr>
                <w:rFonts w:ascii="Times New Roman" w:hAnsi="Times New Roman"/>
                <w:b w:val="0"/>
                <w:i w:val="0"/>
                <w:sz w:val="20"/>
                <w:u w:val="none"/>
              </w:rPr>
              <w:t>Ex Parte Order Analysis — 24 of 55 Orders (44%) Entered Ex Parte</w:t>
            </w:r>
          </w:p>
        </w:tc>
      </w:tr>
      <w:tr>
        <w:tc>
          <w:tcPr>
            <w:tcW w:type="dxa" w:w="4680"/>
          </w:tcPr>
          <w:p>
            <w:pPr>
              <w:spacing w:line="240" w:lineRule="auto"/>
            </w:pPr>
            <w:r/>
            <w:r>
              <w:rPr>
                <w:rFonts w:ascii="Times New Roman" w:hAnsi="Times New Roman"/>
                <w:b w:val="0"/>
                <w:i w:val="0"/>
                <w:sz w:val="20"/>
                <w:u w:val="none"/>
              </w:rPr>
              <w:t>D</w:t>
            </w:r>
          </w:p>
        </w:tc>
        <w:tc>
          <w:tcPr>
            <w:tcW w:type="dxa" w:w="4680"/>
          </w:tcPr>
          <w:p>
            <w:pPr>
              <w:spacing w:line="240" w:lineRule="auto"/>
            </w:pPr>
            <w:r/>
            <w:r>
              <w:rPr>
                <w:rFonts w:ascii="Times New Roman" w:hAnsi="Times New Roman"/>
                <w:b w:val="0"/>
                <w:i w:val="0"/>
                <w:sz w:val="20"/>
                <w:u w:val="none"/>
              </w:rPr>
              <w:t>May 16, 2025 Bond Order — $250 Per Motion</w:t>
            </w:r>
          </w:p>
        </w:tc>
      </w:tr>
      <w:tr>
        <w:tc>
          <w:tcPr>
            <w:tcW w:type="dxa" w:w="4680"/>
          </w:tcPr>
          <w:p>
            <w:pPr>
              <w:spacing w:line="240" w:lineRule="auto"/>
            </w:pPr>
            <w:r/>
            <w:r>
              <w:rPr>
                <w:rFonts w:ascii="Times New Roman" w:hAnsi="Times New Roman"/>
                <w:b w:val="0"/>
                <w:i w:val="0"/>
                <w:sz w:val="20"/>
                <w:u w:val="none"/>
              </w:rPr>
              <w:t>E</w:t>
            </w:r>
          </w:p>
        </w:tc>
        <w:tc>
          <w:tcPr>
            <w:tcW w:type="dxa" w:w="4680"/>
          </w:tcPr>
          <w:p>
            <w:pPr>
              <w:spacing w:line="240" w:lineRule="auto"/>
            </w:pPr>
            <w:r/>
            <w:r>
              <w:rPr>
                <w:rFonts w:ascii="Times New Roman" w:hAnsi="Times New Roman"/>
                <w:b w:val="0"/>
                <w:i w:val="0"/>
                <w:sz w:val="20"/>
                <w:u w:val="none"/>
              </w:rPr>
              <w:t>Declaration of Andrew Pigors — Muting and Silencing at Hearings</w:t>
            </w:r>
          </w:p>
        </w:tc>
      </w:tr>
      <w:tr>
        <w:tc>
          <w:tcPr>
            <w:tcW w:type="dxa" w:w="4680"/>
          </w:tcPr>
          <w:p>
            <w:pPr>
              <w:spacing w:line="240" w:lineRule="auto"/>
            </w:pPr>
            <w:r/>
            <w:r>
              <w:rPr>
                <w:rFonts w:ascii="Times New Roman" w:hAnsi="Times New Roman"/>
                <w:b w:val="0"/>
                <w:i w:val="0"/>
                <w:sz w:val="20"/>
                <w:u w:val="none"/>
              </w:rPr>
              <w:t>F</w:t>
            </w:r>
          </w:p>
        </w:tc>
        <w:tc>
          <w:tcPr>
            <w:tcW w:type="dxa" w:w="4680"/>
          </w:tcPr>
          <w:p>
            <w:pPr>
              <w:spacing w:line="240" w:lineRule="auto"/>
            </w:pPr>
            <w:r/>
            <w:r>
              <w:rPr>
                <w:rFonts w:ascii="Times New Roman" w:hAnsi="Times New Roman"/>
                <w:b w:val="0"/>
                <w:i w:val="0"/>
                <w:sz w:val="20"/>
                <w:u w:val="none"/>
              </w:rPr>
              <w:t>Father's Hearing Statement — Child's Deprivation</w:t>
            </w:r>
          </w:p>
        </w:tc>
      </w:tr>
      <w:tr>
        <w:tc>
          <w:tcPr>
            <w:tcW w:type="dxa" w:w="4680"/>
          </w:tcPr>
          <w:p>
            <w:pPr>
              <w:spacing w:line="240" w:lineRule="auto"/>
            </w:pPr>
            <w:r/>
            <w:r>
              <w:rPr>
                <w:rFonts w:ascii="Times New Roman" w:hAnsi="Times New Roman"/>
                <w:b w:val="0"/>
                <w:i w:val="0"/>
                <w:sz w:val="20"/>
                <w:u w:val="none"/>
              </w:rPr>
              <w:t>G</w:t>
            </w:r>
          </w:p>
        </w:tc>
        <w:tc>
          <w:tcPr>
            <w:tcW w:type="dxa" w:w="4680"/>
          </w:tcPr>
          <w:p>
            <w:pPr>
              <w:spacing w:line="240" w:lineRule="auto"/>
            </w:pPr>
            <w:r/>
            <w:r>
              <w:rPr>
                <w:rFonts w:ascii="Times New Roman" w:hAnsi="Times New Roman"/>
                <w:b w:val="0"/>
                <w:i w:val="0"/>
                <w:sz w:val="20"/>
                <w:u w:val="none"/>
              </w:rPr>
              <w:t>Court's Own Finding — "Both parents have a strong bond"</w:t>
            </w:r>
          </w:p>
        </w:tc>
      </w:tr>
      <w:tr>
        <w:tc>
          <w:tcPr>
            <w:tcW w:type="dxa" w:w="4680"/>
          </w:tcPr>
          <w:p>
            <w:pPr>
              <w:spacing w:line="240" w:lineRule="auto"/>
            </w:pPr>
            <w:r/>
            <w:r>
              <w:rPr>
                <w:rFonts w:ascii="Times New Roman" w:hAnsi="Times New Roman"/>
                <w:b w:val="0"/>
                <w:i w:val="0"/>
                <w:sz w:val="20"/>
                <w:u w:val="none"/>
              </w:rPr>
              <w:t>H</w:t>
            </w:r>
          </w:p>
        </w:tc>
        <w:tc>
          <w:tcPr>
            <w:tcW w:type="dxa" w:w="4680"/>
          </w:tcPr>
          <w:p>
            <w:pPr>
              <w:spacing w:line="240" w:lineRule="auto"/>
            </w:pPr>
            <w:r/>
            <w:r>
              <w:rPr>
                <w:rFonts w:ascii="Times New Roman" w:hAnsi="Times New Roman"/>
                <w:b w:val="0"/>
                <w:i w:val="0"/>
                <w:sz w:val="20"/>
                <w:u w:val="none"/>
              </w:rPr>
              <w:t>COA 366810 Docket — Showing 7+ Months Without Substantive Action</w:t>
            </w:r>
          </w:p>
        </w:tc>
      </w:tr>
      <w:tr>
        <w:tc>
          <w:tcPr>
            <w:tcW w:type="dxa" w:w="4680"/>
          </w:tcPr>
          <w:p>
            <w:pPr>
              <w:spacing w:line="240" w:lineRule="auto"/>
            </w:pPr>
            <w:r/>
            <w:r>
              <w:rPr>
                <w:rFonts w:ascii="Times New Roman" w:hAnsi="Times New Roman"/>
                <w:b w:val="0"/>
                <w:i w:val="0"/>
                <w:sz w:val="20"/>
                <w:u w:val="none"/>
              </w:rPr>
              <w:t>I</w:t>
            </w:r>
          </w:p>
        </w:tc>
        <w:tc>
          <w:tcPr>
            <w:tcW w:type="dxa" w:w="4680"/>
          </w:tcPr>
          <w:p>
            <w:pPr>
              <w:spacing w:line="240" w:lineRule="auto"/>
            </w:pPr>
            <w:r/>
            <w:r>
              <w:rPr>
                <w:rFonts w:ascii="Times New Roman" w:hAnsi="Times New Roman"/>
                <w:b w:val="0"/>
                <w:i w:val="0"/>
                <w:sz w:val="20"/>
                <w:u w:val="none"/>
              </w:rPr>
              <w:t>Judicial Violation Summary — 1,127 Violations Catalogued</w:t>
            </w:r>
          </w:p>
        </w:tc>
      </w:tr>
      <w:tr>
        <w:tc>
          <w:tcPr>
            <w:tcW w:type="dxa" w:w="4680"/>
          </w:tcPr>
          <w:p>
            <w:pPr>
              <w:spacing w:line="240" w:lineRule="auto"/>
            </w:pPr>
            <w:r/>
            <w:r>
              <w:rPr>
                <w:rFonts w:ascii="Times New Roman" w:hAnsi="Times New Roman"/>
                <w:b w:val="0"/>
                <w:i w:val="0"/>
                <w:sz w:val="20"/>
                <w:u w:val="none"/>
              </w:rPr>
              <w:t>J</w:t>
            </w:r>
          </w:p>
        </w:tc>
        <w:tc>
          <w:tcPr>
            <w:tcW w:type="dxa" w:w="4680"/>
          </w:tcPr>
          <w:p>
            <w:pPr>
              <w:spacing w:line="240" w:lineRule="auto"/>
            </w:pPr>
            <w:r/>
            <w:r>
              <w:rPr>
                <w:rFonts w:ascii="Times New Roman" w:hAnsi="Times New Roman"/>
                <w:b w:val="0"/>
                <w:i w:val="0"/>
                <w:sz w:val="20"/>
                <w:u w:val="none"/>
              </w:rPr>
              <w:t>Best-Interest-Factor Evidence Links — 519 Items Across 12 Factors</w:t>
            </w:r>
          </w:p>
        </w:tc>
      </w:tr>
    </w:tbl>
    <w:p/>
    <w:p>
      <w:pPr>
        <w:spacing w:after="0" w:before="0" w:line="480" w:lineRule="auto"/>
        <w:jc w:val="center"/>
      </w:pPr>
      <w:r>
        <w:rPr>
          <w:rFonts w:ascii="Times New Roman" w:hAnsi="Times New Roman"/>
          <w:b w:val="0"/>
          <w:i w:val="0"/>
          <w:sz w:val="24"/>
          <w:u w:val="none"/>
        </w:rPr>
        <w:t>__________________________________________________</w:t>
      </w:r>
    </w:p>
    <w:p>
      <w:pPr>
        <w:spacing w:after="0" w:before="0" w:line="480" w:lineRule="auto"/>
        <w:ind w:firstLine="720"/>
        <w:jc w:val="left"/>
      </w:pPr>
      <w:r>
        <w:rPr>
          <w:rFonts w:ascii="Times New Roman" w:hAnsi="Times New Roman"/>
          <w:b w:val="0"/>
          <w:i/>
          <w:sz w:val="24"/>
          <w:u w:val="none"/>
        </w:rPr>
        <w:t>Respectfully submitted,</w:t>
      </w:r>
    </w:p>
    <w:p>
      <w:pPr>
        <w:spacing w:after="0" w:before="0" w:line="480" w:lineRule="auto"/>
        <w:ind w:firstLine="720"/>
        <w:jc w:val="left"/>
      </w:pPr>
      <w:r>
        <w:rPr>
          <w:rFonts w:ascii="Times New Roman" w:hAnsi="Times New Roman"/>
          <w:b w:val="0"/>
          <w:i w:val="0"/>
          <w:sz w:val="24"/>
          <w:u w:val="none"/>
        </w:rPr>
        <w:t>/s/ Andrew Pigors</w:t>
      </w:r>
    </w:p>
    <w:p>
      <w:pPr>
        <w:spacing w:after="0" w:before="0" w:line="480" w:lineRule="auto"/>
        <w:ind w:firstLine="720"/>
        <w:jc w:val="left"/>
      </w:pPr>
      <w:r>
        <w:rPr>
          <w:rFonts w:ascii="Times New Roman" w:hAnsi="Times New Roman"/>
          <w:b/>
          <w:i w:val="0"/>
          <w:sz w:val="24"/>
          <w:u w:val="none"/>
        </w:rPr>
        <w:t>Andrew Pigors, Pro Se</w:t>
      </w:r>
    </w:p>
    <w:p>
      <w:pPr>
        <w:spacing w:after="0" w:before="0" w:line="480" w:lineRule="auto"/>
        <w:ind w:firstLine="720"/>
        <w:jc w:val="left"/>
      </w:pPr>
      <w:r>
        <w:rPr>
          <w:rFonts w:ascii="Times New Roman" w:hAnsi="Times New Roman"/>
          <w:b w:val="0"/>
          <w:i w:val="0"/>
          <w:sz w:val="24"/>
          <w:u w:val="none"/>
        </w:rPr>
        <w:t>Plaintiff-Appellant / Petitioner</w:t>
      </w:r>
    </w:p>
    <w:p>
      <w:pPr>
        <w:spacing w:after="0" w:before="0" w:line="480" w:lineRule="auto"/>
        <w:ind w:firstLine="720"/>
        <w:jc w:val="left"/>
      </w:pPr>
      <w:r>
        <w:rPr>
          <w:rFonts w:ascii="Times New Roman" w:hAnsi="Times New Roman"/>
          <w:b w:val="0"/>
          <w:i w:val="0"/>
          <w:sz w:val="24"/>
          <w:u w:val="none"/>
        </w:rPr>
        <w:t>1977 Whitehall Road, Lot 17</w:t>
      </w:r>
    </w:p>
    <w:p>
      <w:pPr>
        <w:spacing w:after="0" w:before="0" w:line="480" w:lineRule="auto"/>
        <w:ind w:firstLine="720"/>
        <w:jc w:val="left"/>
      </w:pPr>
      <w:r>
        <w:rPr>
          <w:rFonts w:ascii="Times New Roman" w:hAnsi="Times New Roman"/>
          <w:b w:val="0"/>
          <w:i w:val="0"/>
          <w:sz w:val="24"/>
          <w:u w:val="none"/>
        </w:rPr>
        <w:t>Muskegon, MI 49445</w:t>
      </w:r>
    </w:p>
    <w:p>
      <w:pPr>
        <w:spacing w:after="0" w:before="0" w:line="480" w:lineRule="auto"/>
        <w:ind w:firstLine="720"/>
        <w:jc w:val="left"/>
      </w:pPr>
      <w:r>
        <w:rPr>
          <w:rFonts w:ascii="Times New Roman" w:hAnsi="Times New Roman"/>
          <w:b w:val="0"/>
          <w:i w:val="0"/>
          <w:sz w:val="24"/>
          <w:u w:val="none"/>
        </w:rPr>
        <w:t>(231) 903-5690</w:t>
      </w:r>
    </w:p>
    <w:p>
      <w:pPr>
        <w:spacing w:after="0" w:before="0" w:line="480" w:lineRule="auto"/>
        <w:ind w:firstLine="720"/>
        <w:jc w:val="left"/>
      </w:pPr>
      <w:r>
        <w:rPr>
          <w:rFonts w:ascii="Times New Roman" w:hAnsi="Times New Roman"/>
          <w:b w:val="0"/>
          <w:i w:val="0"/>
          <w:sz w:val="24"/>
          <w:u w:val="none"/>
        </w:rPr>
        <w:t>andrewpigors@gmail.com</w:t>
      </w:r>
    </w:p>
    <w:p>
      <w:pPr>
        <w:spacing w:after="0" w:before="0" w:line="480" w:lineRule="auto"/>
        <w:ind w:firstLine="720"/>
        <w:jc w:val="left"/>
      </w:pPr>
      <w:r>
        <w:rPr>
          <w:rFonts w:ascii="Times New Roman" w:hAnsi="Times New Roman"/>
          <w:b w:val="0"/>
          <w:i w:val="0"/>
          <w:sz w:val="24"/>
          <w:u w:val="none"/>
        </w:rPr>
        <w:t>Dated: _______________,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