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for Contempt and Makeup Parenting Time</w:t>
      </w:r>
    </w:p>
    <w:p>
      <w:r>
        <w:t>NOW COMES Plaintiff, ANDREW J. PIGORS, and respectfully requests this Honorable Court to find Defendant EMILY A. WATSON in contempt for willful and repeated violations of court-ordered parenting time. In support, Plaintiff states:</w:t>
        <w:br/>
        <w:br/>
        <w:t>1. Defendant withheld the minor child from October 20 to November 15, 2024, including the child’s birthday on November 9.</w:t>
        <w:br/>
        <w:t>2. Defendant denied Plaintiff parenting time during Easter weekend (April 13–15, 2025).</w:t>
        <w:br/>
        <w:t>3. Defendant has refused to allow makeup time or explain her behavior in AppClose.</w:t>
        <w:br/>
        <w:t>4. These acts violate MCL 722.27a(9) and constitute contempt of court.</w:t>
        <w:br/>
        <w:br/>
        <w:t>WHEREFORE, Plaintiff requests the Court find Defendant in contempt and award makeup parenting time to compensate for missed holidays and critical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