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FOR SANCTIONS AND CONTEMPT</w:t>
      </w:r>
    </w:p>
    <w:p>
      <w:r>
        <w:t>This matter having come before the Court on Plaintiff’s Motion for Sanctions and Contempt, and the Court being fully advised in the premises:</w:t>
        <w:br/>
        <w:br/>
        <w:t>IT IS HEREBY ORDERED that:</w:t>
        <w:br/>
        <w:t>1. Defendant, EMILY WATSON, is found in contempt for repeated violations of parenting time orders and refusal to provide medical and daycare information;</w:t>
        <w:br/>
        <w:t>2. Defendant shall provide make-up parenting time for all documented denials including but not limited to March 26–May 3, 2024 and January–February 2025 incidents;</w:t>
        <w:br/>
        <w:t>3. Sanctions in the amount of $__________ are imposed for bad faith litigation and obstruction under MCR 1.109(E)(5);</w:t>
        <w:br/>
        <w:t>4. Further violation shall result in increased sanctions, modification of custody, or referral for supervised parenting time review.</w:t>
        <w:br/>
        <w:br/>
        <w:t>IT IS SO ORDERED.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