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480" w:lineRule="auto"/>
        <w:jc w:val="center"/>
      </w:pPr>
      <w:r>
        <w:rPr>
          <w:rFonts w:ascii="Times New Roman" w:hAnsi="Times New Roman"/>
          <w:b/>
          <w:i w:val="0"/>
          <w:sz w:val="26"/>
          <w:u w:val="none"/>
        </w:rPr>
        <w:t>UNITED STATES DISTRICT COURT</w:t>
      </w:r>
    </w:p>
    <w:p>
      <w:pPr>
        <w:spacing w:after="0" w:before="0" w:line="480" w:lineRule="auto"/>
        <w:jc w:val="center"/>
      </w:pPr>
      <w:r>
        <w:rPr>
          <w:rFonts w:ascii="Times New Roman" w:hAnsi="Times New Roman"/>
          <w:b/>
          <w:i w:val="0"/>
          <w:sz w:val="26"/>
          <w:u w:val="none"/>
        </w:rPr>
        <w:t>WESTERN DISTRICT OF MICHIGAN — SOUTHERN DIVISION</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ind w:firstLine="720"/>
        <w:jc w:val="left"/>
      </w:pPr>
      <w:r>
        <w:rPr>
          <w:rFonts w:ascii="Times New Roman" w:hAnsi="Times New Roman"/>
          <w:b/>
          <w:i w:val="0"/>
          <w:sz w:val="24"/>
          <w:u w:val="none"/>
        </w:rPr>
        <w:t>ANDREW J. PIGORS,</w:t>
      </w:r>
    </w:p>
    <w:p>
      <w:pPr>
        <w:spacing w:after="0" w:before="0" w:line="480" w:lineRule="auto"/>
        <w:ind w:firstLine="720"/>
        <w:jc w:val="left"/>
      </w:pPr>
      <w:r>
        <w:rPr>
          <w:rFonts w:ascii="Times New Roman" w:hAnsi="Times New Roman"/>
          <w:b w:val="0"/>
          <w:i w:val="0"/>
          <w:sz w:val="24"/>
          <w:u w:val="none"/>
        </w:rPr>
        <w:t>Plaintiff,</w:t>
      </w:r>
    </w:p>
    <w:p>
      <w:pPr>
        <w:spacing w:after="0" w:before="0" w:line="480" w:lineRule="auto"/>
        <w:ind w:left="720"/>
        <w:jc w:val="left"/>
      </w:pPr>
      <w:r>
        <w:rPr>
          <w:rFonts w:ascii="Times New Roman" w:hAnsi="Times New Roman"/>
          <w:b/>
          <w:i w:val="0"/>
          <w:sz w:val="24"/>
          <w:u w:val="none"/>
        </w:rPr>
        <w:t xml:space="preserve">v. </w:t>
      </w:r>
      <w:r>
        <w:rPr>
          <w:rFonts w:ascii="Times New Roman" w:hAnsi="Times New Roman"/>
          <w:b w:val="0"/>
          <w:i w:val="0"/>
          <w:sz w:val="24"/>
          <w:u w:val="none"/>
        </w:rPr>
        <w:t>Case No. _______________</w:t>
      </w:r>
    </w:p>
    <w:p>
      <w:pPr>
        <w:spacing w:after="0" w:before="0" w:line="480" w:lineRule="auto"/>
        <w:ind w:firstLine="720"/>
        <w:jc w:val="left"/>
      </w:pPr>
      <w:r>
        <w:rPr>
          <w:rFonts w:ascii="Times New Roman" w:hAnsi="Times New Roman"/>
          <w:b/>
          <w:i w:val="0"/>
          <w:sz w:val="24"/>
          <w:u w:val="none"/>
        </w:rPr>
        <w:t>HON. JENNY L. McNEILL,</w:t>
      </w:r>
    </w:p>
    <w:p>
      <w:pPr>
        <w:spacing w:after="0" w:before="0" w:line="480" w:lineRule="auto"/>
        <w:ind w:firstLine="720"/>
        <w:jc w:val="left"/>
      </w:pPr>
      <w:r>
        <w:rPr>
          <w:rFonts w:ascii="Times New Roman" w:hAnsi="Times New Roman"/>
          <w:b w:val="0"/>
          <w:i w:val="0"/>
          <w:sz w:val="24"/>
          <w:u w:val="none"/>
        </w:rPr>
        <w:t>individually and in her official capacity,</w:t>
      </w:r>
    </w:p>
    <w:p>
      <w:pPr>
        <w:spacing w:after="0" w:before="0" w:line="480" w:lineRule="auto"/>
        <w:ind w:firstLine="720"/>
        <w:jc w:val="left"/>
      </w:pPr>
      <w:r>
        <w:rPr>
          <w:rFonts w:ascii="Times New Roman" w:hAnsi="Times New Roman"/>
          <w:b/>
          <w:i w:val="0"/>
          <w:sz w:val="24"/>
          <w:u w:val="none"/>
        </w:rPr>
        <w:t>TIFFANY (EMILY) WATSON,</w:t>
      </w:r>
    </w:p>
    <w:p>
      <w:pPr>
        <w:spacing w:after="0" w:before="0" w:line="480" w:lineRule="auto"/>
        <w:ind w:firstLine="720"/>
        <w:jc w:val="left"/>
      </w:pPr>
      <w:r>
        <w:rPr>
          <w:rFonts w:ascii="Times New Roman" w:hAnsi="Times New Roman"/>
          <w:b w:val="0"/>
          <w:i w:val="0"/>
          <w:sz w:val="24"/>
          <w:u w:val="none"/>
        </w:rPr>
        <w:t>individually,</w:t>
      </w:r>
    </w:p>
    <w:p>
      <w:pPr>
        <w:spacing w:after="0" w:before="0" w:line="480" w:lineRule="auto"/>
        <w:ind w:firstLine="720"/>
        <w:jc w:val="left"/>
      </w:pPr>
      <w:r>
        <w:rPr>
          <w:rFonts w:ascii="Times New Roman" w:hAnsi="Times New Roman"/>
          <w:b/>
          <w:i w:val="0"/>
          <w:sz w:val="24"/>
          <w:u w:val="none"/>
        </w:rPr>
        <w:t>RON BERRY, ESQ.,</w:t>
      </w:r>
    </w:p>
    <w:p>
      <w:pPr>
        <w:spacing w:after="0" w:before="0" w:line="480" w:lineRule="auto"/>
        <w:ind w:firstLine="720"/>
        <w:jc w:val="left"/>
      </w:pPr>
      <w:r>
        <w:rPr>
          <w:rFonts w:ascii="Times New Roman" w:hAnsi="Times New Roman"/>
          <w:b w:val="0"/>
          <w:i w:val="0"/>
          <w:sz w:val="24"/>
          <w:u w:val="none"/>
        </w:rPr>
        <w:t>individually,</w:t>
      </w:r>
    </w:p>
    <w:p>
      <w:pPr>
        <w:spacing w:after="0" w:before="0" w:line="480" w:lineRule="auto"/>
        <w:ind w:firstLine="720"/>
        <w:jc w:val="left"/>
      </w:pPr>
      <w:r>
        <w:rPr>
          <w:rFonts w:ascii="Times New Roman" w:hAnsi="Times New Roman"/>
          <w:b w:val="0"/>
          <w:i w:val="0"/>
          <w:sz w:val="24"/>
          <w:u w:val="none"/>
        </w:rPr>
        <w:t>Defendants.</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6"/>
          <w:u w:val="none"/>
        </w:rPr>
        <w:t>CIVIL RIGHTS COMPLAINT UNDER 42 U.S.C. § 1983</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ind w:firstLine="720"/>
        <w:jc w:val="left"/>
      </w:pPr>
      <w:r>
        <w:rPr>
          <w:rFonts w:ascii="Times New Roman" w:hAnsi="Times New Roman"/>
          <w:b/>
          <w:i w:val="0"/>
          <w:sz w:val="24"/>
          <w:u w:val="none"/>
        </w:rPr>
        <w:t>JURY TRIAL DEMANDED</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ind w:firstLine="720"/>
        <w:jc w:val="left"/>
      </w:pPr>
      <w:r>
        <w:rPr>
          <w:rFonts w:ascii="Times New Roman" w:hAnsi="Times New Roman"/>
          <w:b w:val="0"/>
          <w:i w:val="0"/>
          <w:sz w:val="24"/>
          <w:u w:val="none"/>
        </w:rPr>
        <w:t>Plaintiff Andrew J. Pigors, proceeding pro se, respectfully submits this Civil Rights Complaint pursuant to 42 U.S.C. § 1983, 42 U.S.C. § 1985(3), and the First and Fourteenth Amendments to the United States Constitution, and states as follows:</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I. JURISDICTION AND VENUE</w:t>
      </w:r>
    </w:p>
    <w:p>
      <w:pPr>
        <w:spacing w:after="0" w:before="0" w:line="480" w:lineRule="auto"/>
        <w:ind w:firstLine="720"/>
        <w:jc w:val="left"/>
      </w:pPr>
      <w:r>
        <w:rPr>
          <w:rFonts w:ascii="Times New Roman" w:hAnsi="Times New Roman"/>
          <w:b/>
          <w:i w:val="0"/>
          <w:sz w:val="24"/>
          <w:u w:val="none"/>
        </w:rPr>
        <w:t xml:space="preserve">1. </w:t>
      </w:r>
      <w:r>
        <w:rPr>
          <w:rFonts w:ascii="Times New Roman" w:hAnsi="Times New Roman"/>
          <w:b w:val="0"/>
          <w:i w:val="0"/>
          <w:sz w:val="24"/>
          <w:u w:val="none"/>
        </w:rPr>
        <w:t xml:space="preserve">This Court has subject matter jurisdiction pursuant to </w:t>
      </w:r>
      <w:r>
        <w:rPr>
          <w:rFonts w:ascii="Times New Roman" w:hAnsi="Times New Roman"/>
          <w:b/>
          <w:i w:val="0"/>
          <w:sz w:val="24"/>
          <w:u w:val="none"/>
        </w:rPr>
        <w:t>28 U.S.C. § 1331</w:t>
      </w:r>
      <w:r>
        <w:rPr>
          <w:rFonts w:ascii="Times New Roman" w:hAnsi="Times New Roman"/>
          <w:b w:val="0"/>
          <w:i w:val="0"/>
          <w:sz w:val="24"/>
          <w:u w:val="none"/>
        </w:rPr>
        <w:t xml:space="preserve"> (federal question) and </w:t>
      </w:r>
      <w:r>
        <w:rPr>
          <w:rFonts w:ascii="Times New Roman" w:hAnsi="Times New Roman"/>
          <w:b/>
          <w:i w:val="0"/>
          <w:sz w:val="24"/>
          <w:u w:val="none"/>
        </w:rPr>
        <w:t>28 U.S.C. § 1343(a)(3)-(4)</w:t>
      </w:r>
      <w:r>
        <w:rPr>
          <w:rFonts w:ascii="Times New Roman" w:hAnsi="Times New Roman"/>
          <w:b w:val="0"/>
          <w:i w:val="0"/>
          <w:sz w:val="24"/>
          <w:u w:val="none"/>
        </w:rPr>
        <w:t xml:space="preserve"> (civil rights jurisdiction), as this action arises under 42 U.S.C. § 1983 and 42 U.S.C. § 1985(3) for the deprivation of rights secured by the First and Fourteenth Amendments to the United States Constitution.</w:t>
      </w:r>
    </w:p>
    <w:p>
      <w:pPr>
        <w:spacing w:after="0" w:before="0" w:line="480" w:lineRule="auto"/>
        <w:ind w:firstLine="720"/>
        <w:jc w:val="left"/>
      </w:pPr>
      <w:r>
        <w:rPr>
          <w:rFonts w:ascii="Times New Roman" w:hAnsi="Times New Roman"/>
          <w:b/>
          <w:i w:val="0"/>
          <w:sz w:val="24"/>
          <w:u w:val="none"/>
        </w:rPr>
        <w:t xml:space="preserve">2. </w:t>
      </w:r>
      <w:r>
        <w:rPr>
          <w:rFonts w:ascii="Times New Roman" w:hAnsi="Times New Roman"/>
          <w:b w:val="0"/>
          <w:i w:val="0"/>
          <w:sz w:val="24"/>
          <w:u w:val="none"/>
        </w:rPr>
        <w:t xml:space="preserve">Venue is proper in this District pursuant to </w:t>
      </w:r>
      <w:r>
        <w:rPr>
          <w:rFonts w:ascii="Times New Roman" w:hAnsi="Times New Roman"/>
          <w:b/>
          <w:i w:val="0"/>
          <w:sz w:val="24"/>
          <w:u w:val="none"/>
        </w:rPr>
        <w:t>28 U.S.C. § 1391(b)</w:t>
      </w:r>
      <w:r>
        <w:rPr>
          <w:rFonts w:ascii="Times New Roman" w:hAnsi="Times New Roman"/>
          <w:b w:val="0"/>
          <w:i w:val="0"/>
          <w:sz w:val="24"/>
          <w:u w:val="none"/>
        </w:rPr>
        <w:t xml:space="preserve"> because a substantial part of the events giving rise to Plaintiff's claims occurred in Muskegon County, Michigan, which lies within the Western District of Michigan, Southern Division, and all Defendants reside and/or conduct business within this District.</w:t>
      </w:r>
    </w:p>
    <w:p>
      <w:pPr>
        <w:spacing w:after="0" w:before="0" w:line="480" w:lineRule="auto"/>
        <w:ind w:firstLine="720"/>
        <w:jc w:val="left"/>
      </w:pPr>
      <w:r>
        <w:rPr>
          <w:rFonts w:ascii="Times New Roman" w:hAnsi="Times New Roman"/>
          <w:b/>
          <w:i w:val="0"/>
          <w:sz w:val="24"/>
          <w:u w:val="none"/>
        </w:rPr>
        <w:t xml:space="preserve">3. </w:t>
      </w:r>
      <w:r>
        <w:rPr>
          <w:rFonts w:ascii="Times New Roman" w:hAnsi="Times New Roman"/>
          <w:b w:val="0"/>
          <w:i w:val="0"/>
          <w:sz w:val="24"/>
          <w:u w:val="none"/>
        </w:rPr>
        <w:t xml:space="preserve">This action does not seek to appeal or overturn the substance of any state court judgment. Rather, Plaintiff challenges the </w:t>
      </w:r>
      <w:r>
        <w:rPr>
          <w:rFonts w:ascii="Times New Roman" w:hAnsi="Times New Roman"/>
          <w:b w:val="0"/>
          <w:i/>
          <w:sz w:val="24"/>
          <w:u w:val="none"/>
        </w:rPr>
        <w:t>process</w:t>
      </w:r>
      <w:r>
        <w:rPr>
          <w:rFonts w:ascii="Times New Roman" w:hAnsi="Times New Roman"/>
          <w:b w:val="0"/>
          <w:i w:val="0"/>
          <w:sz w:val="24"/>
          <w:u w:val="none"/>
        </w:rPr>
        <w:t xml:space="preserve"> — or complete absence thereof — by which Defendants deprived him of constitutionally protected rights. This Court's jurisdiction is therefore not barred by the Rooker-Feldman doctrine. </w:t>
      </w:r>
      <w:r>
        <w:rPr>
          <w:rFonts w:ascii="Times New Roman" w:hAnsi="Times New Roman"/>
          <w:b w:val="0"/>
          <w:i/>
          <w:sz w:val="24"/>
          <w:u w:val="none"/>
        </w:rPr>
        <w:t>Exxon Mobil Corp. v. Saudi Basic Industries Corp.</w:t>
      </w:r>
      <w:r>
        <w:rPr>
          <w:rFonts w:ascii="Times New Roman" w:hAnsi="Times New Roman"/>
          <w:b w:val="0"/>
          <w:i w:val="0"/>
          <w:sz w:val="24"/>
          <w:u w:val="none"/>
        </w:rPr>
        <w:t xml:space="preserve">, 544 U.S. 280, 284 (2005); </w:t>
      </w:r>
      <w:r>
        <w:rPr>
          <w:rFonts w:ascii="Times New Roman" w:hAnsi="Times New Roman"/>
          <w:b w:val="0"/>
          <w:i/>
          <w:sz w:val="24"/>
          <w:u w:val="none"/>
        </w:rPr>
        <w:t>McCormick v. Braverman</w:t>
      </w:r>
      <w:r>
        <w:rPr>
          <w:rFonts w:ascii="Times New Roman" w:hAnsi="Times New Roman"/>
          <w:b w:val="0"/>
          <w:i w:val="0"/>
          <w:sz w:val="24"/>
          <w:u w:val="none"/>
        </w:rPr>
        <w:t>, 451 F.3d 382, 393 (6th Cir. 2006).</w:t>
      </w:r>
    </w:p>
    <w:p>
      <w:pPr>
        <w:spacing w:after="0" w:before="0" w:line="480" w:lineRule="auto"/>
        <w:ind w:firstLine="720"/>
        <w:jc w:val="left"/>
      </w:pPr>
      <w:r>
        <w:rPr>
          <w:rFonts w:ascii="Times New Roman" w:hAnsi="Times New Roman"/>
          <w:b/>
          <w:i w:val="0"/>
          <w:sz w:val="24"/>
          <w:u w:val="none"/>
        </w:rPr>
        <w:t xml:space="preserve">4. </w:t>
      </w:r>
      <w:r>
        <w:rPr>
          <w:rFonts w:ascii="Times New Roman" w:hAnsi="Times New Roman"/>
          <w:b w:val="0"/>
          <w:i w:val="0"/>
          <w:sz w:val="24"/>
          <w:u w:val="none"/>
        </w:rPr>
        <w:t xml:space="preserve">Exhaustion of state remedies is not required for actions under 42 U.S.C. § 1983. </w:t>
      </w:r>
      <w:r>
        <w:rPr>
          <w:rFonts w:ascii="Times New Roman" w:hAnsi="Times New Roman"/>
          <w:b w:val="0"/>
          <w:i/>
          <w:sz w:val="24"/>
          <w:u w:val="none"/>
        </w:rPr>
        <w:t>Patsy v. Board of Regents</w:t>
      </w:r>
      <w:r>
        <w:rPr>
          <w:rFonts w:ascii="Times New Roman" w:hAnsi="Times New Roman"/>
          <w:b w:val="0"/>
          <w:i w:val="0"/>
          <w:sz w:val="24"/>
          <w:u w:val="none"/>
        </w:rPr>
        <w:t xml:space="preserve">, 457 U.S. 496, 516 (1982); </w:t>
      </w:r>
      <w:r>
        <w:rPr>
          <w:rFonts w:ascii="Times New Roman" w:hAnsi="Times New Roman"/>
          <w:b w:val="0"/>
          <w:i/>
          <w:sz w:val="24"/>
          <w:u w:val="none"/>
        </w:rPr>
        <w:t>Monroe v. Pape</w:t>
      </w:r>
      <w:r>
        <w:rPr>
          <w:rFonts w:ascii="Times New Roman" w:hAnsi="Times New Roman"/>
          <w:b w:val="0"/>
          <w:i w:val="0"/>
          <w:sz w:val="24"/>
          <w:u w:val="none"/>
        </w:rPr>
        <w:t>, 365 U.S. 167 (1961). The federal remedy is supplementary to any available state remedy. Notwithstanding, Plaintiff has pursued — and been denied — every available state remedy, as detailed in the Exhaustion of Remedies section incorporated herein.</w:t>
      </w:r>
    </w:p>
    <w:p>
      <w:pPr>
        <w:spacing w:after="0" w:before="0" w:line="480" w:lineRule="auto"/>
        <w:ind w:firstLine="720"/>
        <w:jc w:val="left"/>
      </w:pPr>
      <w:r>
        <w:rPr>
          <w:rFonts w:ascii="Times New Roman" w:hAnsi="Times New Roman"/>
          <w:b/>
          <w:i w:val="0"/>
          <w:sz w:val="24"/>
          <w:u w:val="none"/>
        </w:rPr>
        <w:t xml:space="preserve">5. </w:t>
      </w:r>
      <w:r>
        <w:rPr>
          <w:rFonts w:ascii="Times New Roman" w:hAnsi="Times New Roman"/>
          <w:b w:val="0"/>
          <w:i w:val="0"/>
          <w:sz w:val="24"/>
          <w:u w:val="none"/>
        </w:rPr>
        <w:t xml:space="preserve">Younger abstention is inapplicable because the state proceedings involve (a) bad faith and harassment by state officials (24 of 55 orders entered ex parte), (b) an extraordinarily and unconstitutionally inadequate state forum ($250 bond blocks all motions), and (c) there is no adequate opportunity to raise federal claims in the ongoing state proceedings. </w:t>
      </w:r>
      <w:r>
        <w:rPr>
          <w:rFonts w:ascii="Times New Roman" w:hAnsi="Times New Roman"/>
          <w:b w:val="0"/>
          <w:i/>
          <w:sz w:val="24"/>
          <w:u w:val="none"/>
        </w:rPr>
        <w:t>Younger v. Harris</w:t>
      </w:r>
      <w:r>
        <w:rPr>
          <w:rFonts w:ascii="Times New Roman" w:hAnsi="Times New Roman"/>
          <w:b w:val="0"/>
          <w:i w:val="0"/>
          <w:sz w:val="24"/>
          <w:u w:val="none"/>
        </w:rPr>
        <w:t xml:space="preserve">, 401 U.S. 37 (1971); exceptions recognized in </w:t>
      </w:r>
      <w:r>
        <w:rPr>
          <w:rFonts w:ascii="Times New Roman" w:hAnsi="Times New Roman"/>
          <w:b w:val="0"/>
          <w:i/>
          <w:sz w:val="24"/>
          <w:u w:val="none"/>
        </w:rPr>
        <w:t>Middlesex County Ethics Comm. v. Garden State Bar Ass'n</w:t>
      </w:r>
      <w:r>
        <w:rPr>
          <w:rFonts w:ascii="Times New Roman" w:hAnsi="Times New Roman"/>
          <w:b w:val="0"/>
          <w:i w:val="0"/>
          <w:sz w:val="24"/>
          <w:u w:val="none"/>
        </w:rPr>
        <w:t xml:space="preserve">, 457 U.S. 423, 432 (1982); </w:t>
      </w:r>
      <w:r>
        <w:rPr>
          <w:rFonts w:ascii="Times New Roman" w:hAnsi="Times New Roman"/>
          <w:b w:val="0"/>
          <w:i/>
          <w:sz w:val="24"/>
          <w:u w:val="none"/>
        </w:rPr>
        <w:t>Kugler v. Helfant</w:t>
      </w:r>
      <w:r>
        <w:rPr>
          <w:rFonts w:ascii="Times New Roman" w:hAnsi="Times New Roman"/>
          <w:b w:val="0"/>
          <w:i w:val="0"/>
          <w:sz w:val="24"/>
          <w:u w:val="none"/>
        </w:rPr>
        <w:t>, 421 U.S. 117, 124 (1975).</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II. PARTIES</w:t>
      </w:r>
    </w:p>
    <w:p>
      <w:pPr>
        <w:spacing w:after="0" w:before="0" w:line="480" w:lineRule="auto"/>
        <w:jc w:val="left"/>
      </w:pPr>
      <w:r>
        <w:rPr>
          <w:rFonts w:ascii="Times New Roman" w:hAnsi="Times New Roman"/>
          <w:b/>
          <w:i w:val="0"/>
          <w:sz w:val="24"/>
          <w:u w:val="single"/>
        </w:rPr>
        <w:t>A. Plaintiff</w:t>
      </w:r>
    </w:p>
    <w:p>
      <w:pPr>
        <w:spacing w:after="0" w:before="0" w:line="480" w:lineRule="auto"/>
        <w:ind w:firstLine="720"/>
        <w:jc w:val="left"/>
      </w:pPr>
      <w:r>
        <w:rPr>
          <w:rFonts w:ascii="Times New Roman" w:hAnsi="Times New Roman"/>
          <w:b/>
          <w:i w:val="0"/>
          <w:sz w:val="24"/>
          <w:u w:val="none"/>
        </w:rPr>
        <w:t xml:space="preserve">6. </w:t>
      </w:r>
      <w:r>
        <w:rPr>
          <w:rFonts w:ascii="Times New Roman" w:hAnsi="Times New Roman"/>
          <w:b/>
          <w:i w:val="0"/>
          <w:sz w:val="24"/>
          <w:u w:val="none"/>
        </w:rPr>
        <w:t>Andrew J. Pigors</w:t>
      </w:r>
      <w:r>
        <w:rPr>
          <w:rFonts w:ascii="Times New Roman" w:hAnsi="Times New Roman"/>
          <w:b w:val="0"/>
          <w:i w:val="0"/>
          <w:sz w:val="24"/>
          <w:u w:val="none"/>
        </w:rPr>
        <w:t xml:space="preserve"> is a natural person and citizen of the State of Michigan, residing in Muskegon County. He is the biological father of L.D.W. (minor child, d.o.b. 2021), and possesses a fundamental liberty interest in the care, custody, and companionship of his child, protected by the Fourteenth Amendment. </w:t>
      </w:r>
      <w:r>
        <w:rPr>
          <w:rFonts w:ascii="Times New Roman" w:hAnsi="Times New Roman"/>
          <w:b w:val="0"/>
          <w:i/>
          <w:sz w:val="24"/>
          <w:u w:val="none"/>
        </w:rPr>
        <w:t>Troxel v. Granville</w:t>
      </w:r>
      <w:r>
        <w:rPr>
          <w:rFonts w:ascii="Times New Roman" w:hAnsi="Times New Roman"/>
          <w:b w:val="0"/>
          <w:i w:val="0"/>
          <w:sz w:val="24"/>
          <w:u w:val="none"/>
        </w:rPr>
        <w:t>, 530 U.S. 57, 65 (2000).</w:t>
      </w:r>
    </w:p>
    <w:p>
      <w:pPr>
        <w:spacing w:after="0" w:before="0" w:line="480" w:lineRule="auto"/>
        <w:jc w:val="left"/>
      </w:pPr>
      <w:r>
        <w:rPr>
          <w:rFonts w:ascii="Times New Roman" w:hAnsi="Times New Roman"/>
          <w:b/>
          <w:i w:val="0"/>
          <w:sz w:val="24"/>
          <w:u w:val="single"/>
        </w:rPr>
        <w:t>B. Defendants</w:t>
      </w:r>
    </w:p>
    <w:p>
      <w:pPr>
        <w:spacing w:after="0" w:before="0" w:line="480" w:lineRule="auto"/>
        <w:ind w:firstLine="720"/>
        <w:jc w:val="left"/>
      </w:pPr>
      <w:r>
        <w:rPr>
          <w:rFonts w:ascii="Times New Roman" w:hAnsi="Times New Roman"/>
          <w:b/>
          <w:i w:val="0"/>
          <w:sz w:val="24"/>
          <w:u w:val="none"/>
        </w:rPr>
        <w:t xml:space="preserve">7. </w:t>
      </w:r>
      <w:r>
        <w:rPr>
          <w:rFonts w:ascii="Times New Roman" w:hAnsi="Times New Roman"/>
          <w:b/>
          <w:i w:val="0"/>
          <w:sz w:val="24"/>
          <w:u w:val="none"/>
        </w:rPr>
        <w:t>Hon. Jenny L. McNeill</w:t>
      </w:r>
      <w:r>
        <w:rPr>
          <w:rFonts w:ascii="Times New Roman" w:hAnsi="Times New Roman"/>
          <w:b w:val="0"/>
          <w:i w:val="0"/>
          <w:sz w:val="24"/>
          <w:u w:val="none"/>
        </w:rPr>
        <w:t xml:space="preserve"> is a judge of the 14th Circuit Court, Muskegon County, Michigan. She is sued in both her individual and official capacities. In her individual capacity, McNeill is liable for acts taken in the complete absence of all jurisdiction and for conspiring with private parties to deprive Plaintiff of constitutional rights. </w:t>
      </w:r>
      <w:r>
        <w:rPr>
          <w:rFonts w:ascii="Times New Roman" w:hAnsi="Times New Roman"/>
          <w:b w:val="0"/>
          <w:i/>
          <w:sz w:val="24"/>
          <w:u w:val="none"/>
        </w:rPr>
        <w:t>Dennis v. Sparks</w:t>
      </w:r>
      <w:r>
        <w:rPr>
          <w:rFonts w:ascii="Times New Roman" w:hAnsi="Times New Roman"/>
          <w:b w:val="0"/>
          <w:i w:val="0"/>
          <w:sz w:val="24"/>
          <w:u w:val="none"/>
        </w:rPr>
        <w:t xml:space="preserve">, 449 U.S. 24 (1980); </w:t>
      </w:r>
      <w:r>
        <w:rPr>
          <w:rFonts w:ascii="Times New Roman" w:hAnsi="Times New Roman"/>
          <w:b w:val="0"/>
          <w:i/>
          <w:sz w:val="24"/>
          <w:u w:val="none"/>
        </w:rPr>
        <w:t>Mireles v. Waco</w:t>
      </w:r>
      <w:r>
        <w:rPr>
          <w:rFonts w:ascii="Times New Roman" w:hAnsi="Times New Roman"/>
          <w:b w:val="0"/>
          <w:i w:val="0"/>
          <w:sz w:val="24"/>
          <w:u w:val="none"/>
        </w:rPr>
        <w:t xml:space="preserve">, 502 U.S. 9, 12 (1991). In her official capacity, McNeill is named for purposes of prospective injunctive and declaratory relief. </w:t>
      </w:r>
      <w:r>
        <w:rPr>
          <w:rFonts w:ascii="Times New Roman" w:hAnsi="Times New Roman"/>
          <w:b w:val="0"/>
          <w:i/>
          <w:sz w:val="24"/>
          <w:u w:val="none"/>
        </w:rPr>
        <w:t>Pulliam v. Allen</w:t>
      </w:r>
      <w:r>
        <w:rPr>
          <w:rFonts w:ascii="Times New Roman" w:hAnsi="Times New Roman"/>
          <w:b w:val="0"/>
          <w:i w:val="0"/>
          <w:sz w:val="24"/>
          <w:u w:val="none"/>
        </w:rPr>
        <w:t>, 466 U.S. 522 (1984).</w:t>
      </w:r>
    </w:p>
    <w:p>
      <w:pPr>
        <w:spacing w:after="0" w:before="0" w:line="480" w:lineRule="auto"/>
        <w:ind w:firstLine="720"/>
        <w:jc w:val="left"/>
      </w:pPr>
      <w:r>
        <w:rPr>
          <w:rFonts w:ascii="Times New Roman" w:hAnsi="Times New Roman"/>
          <w:b/>
          <w:i w:val="0"/>
          <w:sz w:val="24"/>
          <w:u w:val="none"/>
        </w:rPr>
        <w:t xml:space="preserve">8. </w:t>
      </w:r>
      <w:r>
        <w:rPr>
          <w:rFonts w:ascii="Times New Roman" w:hAnsi="Times New Roman"/>
          <w:b/>
          <w:i w:val="0"/>
          <w:sz w:val="24"/>
          <w:u w:val="none"/>
        </w:rPr>
        <w:t>Tiffany (Emily) Watson</w:t>
      </w:r>
      <w:r>
        <w:rPr>
          <w:rFonts w:ascii="Times New Roman" w:hAnsi="Times New Roman"/>
          <w:b w:val="0"/>
          <w:i w:val="0"/>
          <w:sz w:val="24"/>
          <w:u w:val="none"/>
        </w:rPr>
        <w:t xml:space="preserve"> is a natural person and citizen of the State of Michigan, residing in Muskegon County. Watson is the biological mother of L.D.W. She is a private party who, acting in concert with a state judicial officer, conspired to deprive Plaintiff of his constitutional rights under color of state law. </w:t>
      </w:r>
      <w:r>
        <w:rPr>
          <w:rFonts w:ascii="Times New Roman" w:hAnsi="Times New Roman"/>
          <w:b w:val="0"/>
          <w:i/>
          <w:sz w:val="24"/>
          <w:u w:val="none"/>
        </w:rPr>
        <w:t>Dennis v. Sparks</w:t>
      </w:r>
      <w:r>
        <w:rPr>
          <w:rFonts w:ascii="Times New Roman" w:hAnsi="Times New Roman"/>
          <w:b w:val="0"/>
          <w:i w:val="0"/>
          <w:sz w:val="24"/>
          <w:u w:val="none"/>
        </w:rPr>
        <w:t>, 449 U.S. 24, 27-28 (1980). Watson is a non-attorney who has filed substantive legal documents in coordination with the court, raising unauthorized practice of law concerns under MCR 8.120.</w:t>
      </w:r>
    </w:p>
    <w:p>
      <w:pPr>
        <w:spacing w:after="0" w:before="0" w:line="480" w:lineRule="auto"/>
        <w:ind w:firstLine="720"/>
        <w:jc w:val="left"/>
      </w:pPr>
      <w:r>
        <w:rPr>
          <w:rFonts w:ascii="Times New Roman" w:hAnsi="Times New Roman"/>
          <w:b/>
          <w:i w:val="0"/>
          <w:sz w:val="24"/>
          <w:u w:val="none"/>
        </w:rPr>
        <w:t xml:space="preserve">9. </w:t>
      </w:r>
      <w:r>
        <w:rPr>
          <w:rFonts w:ascii="Times New Roman" w:hAnsi="Times New Roman"/>
          <w:b/>
          <w:i w:val="0"/>
          <w:sz w:val="24"/>
          <w:u w:val="none"/>
        </w:rPr>
        <w:t>Ron Berry, Esq.</w:t>
      </w:r>
      <w:r>
        <w:rPr>
          <w:rFonts w:ascii="Times New Roman" w:hAnsi="Times New Roman"/>
          <w:b w:val="0"/>
          <w:i w:val="0"/>
          <w:sz w:val="24"/>
          <w:u w:val="none"/>
        </w:rPr>
        <w:t xml:space="preserve"> is an attorney licensed to practice in the State of Michigan, residing in or around Muskegon County. Berry serves as appellate counsel to Watson and is a private party who conspired with Defendant McNeill to deprive Plaintiff of constitutional rights. Berry's direct ex parte contacts with the court are evidenced by voicemail recordings (Item #6, ex parte objection table) and the temporal coordination pattern: Watson files → McNeill rules same day → Berry files within 48 hours, repeated across months.</w:t>
      </w:r>
    </w:p>
    <w:p>
      <w:pPr>
        <w:spacing w:after="0" w:before="0" w:line="480" w:lineRule="auto"/>
        <w:ind w:firstLine="720"/>
        <w:jc w:val="left"/>
      </w:pPr>
      <w:r>
        <w:rPr>
          <w:rFonts w:ascii="Times New Roman" w:hAnsi="Times New Roman"/>
          <w:b/>
          <w:i w:val="0"/>
          <w:sz w:val="24"/>
          <w:u w:val="none"/>
        </w:rPr>
        <w:t xml:space="preserve">10. </w:t>
      </w:r>
      <w:r>
        <w:rPr>
          <w:rFonts w:ascii="Times New Roman" w:hAnsi="Times New Roman"/>
          <w:b w:val="0"/>
          <w:i w:val="0"/>
          <w:sz w:val="24"/>
          <w:u w:val="none"/>
        </w:rPr>
        <w:t xml:space="preserve">At all times relevant herein, Defendant McNeill acted under color of state law within the meaning of 42 U.S.C. § 1983. </w:t>
      </w:r>
      <w:r>
        <w:rPr>
          <w:rFonts w:ascii="Times New Roman" w:hAnsi="Times New Roman"/>
          <w:b w:val="0"/>
          <w:i/>
          <w:sz w:val="24"/>
          <w:u w:val="none"/>
        </w:rPr>
        <w:t>West v. Atkins</w:t>
      </w:r>
      <w:r>
        <w:rPr>
          <w:rFonts w:ascii="Times New Roman" w:hAnsi="Times New Roman"/>
          <w:b w:val="0"/>
          <w:i w:val="0"/>
          <w:sz w:val="24"/>
          <w:u w:val="none"/>
        </w:rPr>
        <w:t xml:space="preserve">, 487 U.S. 42, 49 (1988). Defendants Watson and Berry, by conspiring with Defendant McNeill, likewise acted under color of state law. </w:t>
      </w:r>
      <w:r>
        <w:rPr>
          <w:rFonts w:ascii="Times New Roman" w:hAnsi="Times New Roman"/>
          <w:b w:val="0"/>
          <w:i/>
          <w:sz w:val="24"/>
          <w:u w:val="none"/>
        </w:rPr>
        <w:t>Dennis v. Sparks</w:t>
      </w:r>
      <w:r>
        <w:rPr>
          <w:rFonts w:ascii="Times New Roman" w:hAnsi="Times New Roman"/>
          <w:b w:val="0"/>
          <w:i w:val="0"/>
          <w:sz w:val="24"/>
          <w:u w:val="none"/>
        </w:rPr>
        <w:t xml:space="preserve">, 449 U.S. 24 (1980); </w:t>
      </w:r>
      <w:r>
        <w:rPr>
          <w:rFonts w:ascii="Times New Roman" w:hAnsi="Times New Roman"/>
          <w:b w:val="0"/>
          <w:i/>
          <w:sz w:val="24"/>
          <w:u w:val="none"/>
        </w:rPr>
        <w:t>Adickes v. S.H. Kress &amp; Co.</w:t>
      </w:r>
      <w:r>
        <w:rPr>
          <w:rFonts w:ascii="Times New Roman" w:hAnsi="Times New Roman"/>
          <w:b w:val="0"/>
          <w:i w:val="0"/>
          <w:sz w:val="24"/>
          <w:u w:val="none"/>
        </w:rPr>
        <w:t>, 398 U.S. 144 (1970).</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III. STATEMENT OF FACTS</w:t>
      </w:r>
    </w:p>
    <w:p>
      <w:pPr>
        <w:spacing w:after="0" w:before="0" w:line="480" w:lineRule="auto"/>
        <w:jc w:val="left"/>
      </w:pPr>
      <w:r>
        <w:rPr>
          <w:rFonts w:ascii="Times New Roman" w:hAnsi="Times New Roman"/>
          <w:b/>
          <w:i w:val="0"/>
          <w:sz w:val="24"/>
          <w:u w:val="single"/>
        </w:rPr>
        <w:t>A. Background</w:t>
      </w:r>
    </w:p>
    <w:p>
      <w:pPr>
        <w:spacing w:after="0" w:before="0" w:line="480" w:lineRule="auto"/>
        <w:ind w:firstLine="720"/>
        <w:jc w:val="left"/>
      </w:pPr>
      <w:r>
        <w:rPr>
          <w:rFonts w:ascii="Times New Roman" w:hAnsi="Times New Roman"/>
          <w:b/>
          <w:i w:val="0"/>
          <w:sz w:val="24"/>
          <w:u w:val="none"/>
        </w:rPr>
        <w:t xml:space="preserve">11. </w:t>
      </w:r>
      <w:r>
        <w:rPr>
          <w:rFonts w:ascii="Times New Roman" w:hAnsi="Times New Roman"/>
          <w:b w:val="0"/>
          <w:i w:val="0"/>
          <w:sz w:val="24"/>
          <w:u w:val="none"/>
        </w:rPr>
        <w:t>Plaintiff is the father of L.D.W., born in 2021. Plaintiff has at all relevant times exercised his parental rights and maintained a strong bond with L.D.W. The 14th Circuit Court itself found that "both parents have a strong bond with the minor child" (Court Order, on file).</w:t>
      </w:r>
    </w:p>
    <w:p>
      <w:pPr>
        <w:spacing w:after="0" w:before="0" w:line="480" w:lineRule="auto"/>
        <w:ind w:firstLine="720"/>
        <w:jc w:val="left"/>
      </w:pPr>
      <w:r>
        <w:rPr>
          <w:rFonts w:ascii="Times New Roman" w:hAnsi="Times New Roman"/>
          <w:b/>
          <w:i w:val="0"/>
          <w:sz w:val="24"/>
          <w:u w:val="none"/>
        </w:rPr>
        <w:t xml:space="preserve">12. </w:t>
      </w:r>
      <w:r>
        <w:rPr>
          <w:rFonts w:ascii="Times New Roman" w:hAnsi="Times New Roman"/>
          <w:b w:val="0"/>
          <w:i w:val="0"/>
          <w:sz w:val="24"/>
          <w:u w:val="none"/>
        </w:rPr>
        <w:t>Watson initiated custody proceedings in 14th Circuit Court, Case No. 2024-001507-DC, and a Personal Protection Order action, Case No. 2023-5907-PP. Both cases were assigned to Judge Jenny L. McNeill.</w:t>
      </w:r>
    </w:p>
    <w:p>
      <w:pPr>
        <w:spacing w:after="0" w:before="0" w:line="480" w:lineRule="auto"/>
        <w:jc w:val="left"/>
      </w:pPr>
      <w:r>
        <w:rPr>
          <w:rFonts w:ascii="Times New Roman" w:hAnsi="Times New Roman"/>
          <w:b/>
          <w:i w:val="0"/>
          <w:sz w:val="24"/>
          <w:u w:val="single"/>
        </w:rPr>
        <w:t>B. The Pattern of Ex Parte Deprivation</w:t>
      </w:r>
    </w:p>
    <w:p>
      <w:pPr>
        <w:spacing w:after="0" w:before="0" w:line="480" w:lineRule="auto"/>
        <w:ind w:firstLine="720"/>
        <w:jc w:val="left"/>
      </w:pPr>
      <w:r>
        <w:rPr>
          <w:rFonts w:ascii="Times New Roman" w:hAnsi="Times New Roman"/>
          <w:b/>
          <w:i w:val="0"/>
          <w:sz w:val="24"/>
          <w:u w:val="none"/>
        </w:rPr>
        <w:t xml:space="preserve">13. </w:t>
      </w:r>
      <w:r>
        <w:rPr>
          <w:rFonts w:ascii="Times New Roman" w:hAnsi="Times New Roman"/>
          <w:b w:val="0"/>
          <w:i w:val="0"/>
          <w:sz w:val="24"/>
          <w:u w:val="none"/>
        </w:rPr>
        <w:t xml:space="preserve">Between October 2023 and the present, Judge McNeill has entered </w:t>
      </w:r>
      <w:r>
        <w:rPr>
          <w:rFonts w:ascii="Times New Roman" w:hAnsi="Times New Roman"/>
          <w:b/>
          <w:i w:val="0"/>
          <w:sz w:val="24"/>
          <w:u w:val="none"/>
        </w:rPr>
        <w:t>24 of 55 orders (43.6%) on an ex parte basis</w:t>
      </w:r>
      <w:r>
        <w:rPr>
          <w:rFonts w:ascii="Times New Roman" w:hAnsi="Times New Roman"/>
          <w:b w:val="0"/>
          <w:i w:val="0"/>
          <w:sz w:val="24"/>
          <w:u w:val="none"/>
        </w:rPr>
        <w:t xml:space="preserve"> — all without notice to Plaintiff, all without an opportunity for Plaintiff to be heard, and all to Plaintiff's detriment.</w:t>
      </w:r>
    </w:p>
    <w:p>
      <w:pPr>
        <w:spacing w:after="0" w:before="0" w:line="480" w:lineRule="auto"/>
        <w:ind w:firstLine="720"/>
        <w:jc w:val="left"/>
      </w:pPr>
      <w:r>
        <w:rPr>
          <w:rFonts w:ascii="Times New Roman" w:hAnsi="Times New Roman"/>
          <w:b/>
          <w:i w:val="0"/>
          <w:sz w:val="24"/>
          <w:u w:val="none"/>
        </w:rPr>
        <w:t xml:space="preserve">14. </w:t>
      </w:r>
      <w:r>
        <w:rPr>
          <w:rFonts w:ascii="Times New Roman" w:hAnsi="Times New Roman"/>
          <w:b w:val="0"/>
          <w:i w:val="0"/>
          <w:sz w:val="24"/>
          <w:u w:val="none"/>
        </w:rPr>
        <w:t xml:space="preserve">On </w:t>
      </w:r>
      <w:r>
        <w:rPr>
          <w:rFonts w:ascii="Times New Roman" w:hAnsi="Times New Roman"/>
          <w:b/>
          <w:i w:val="0"/>
          <w:sz w:val="24"/>
          <w:u w:val="none"/>
        </w:rPr>
        <w:t>August 8, 2025</w:t>
      </w:r>
      <w:r>
        <w:rPr>
          <w:rFonts w:ascii="Times New Roman" w:hAnsi="Times New Roman"/>
          <w:b w:val="0"/>
          <w:i w:val="0"/>
          <w:sz w:val="24"/>
          <w:u w:val="none"/>
        </w:rPr>
        <w:t xml:space="preserve">, Judge McNeill entered </w:t>
      </w:r>
      <w:r>
        <w:rPr>
          <w:rFonts w:ascii="Times New Roman" w:hAnsi="Times New Roman"/>
          <w:b/>
          <w:i w:val="0"/>
          <w:sz w:val="24"/>
          <w:u w:val="none"/>
        </w:rPr>
        <w:t>five (5) ex parte orders on a single day</w:t>
      </w:r>
      <w:r>
        <w:rPr>
          <w:rFonts w:ascii="Times New Roman" w:hAnsi="Times New Roman"/>
          <w:b w:val="0"/>
          <w:i w:val="0"/>
          <w:sz w:val="24"/>
          <w:u w:val="none"/>
        </w:rPr>
        <w:t>, suspending ALL of Plaintiff's parenting time with L.D.W. The ex parte motion:</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val="0"/>
          <w:i w:val="0"/>
          <w:sz w:val="24"/>
          <w:u w:val="none"/>
        </w:rPr>
        <w:t>Was not served on Plaintiff before entry;</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val="0"/>
          <w:i w:val="0"/>
          <w:sz w:val="24"/>
          <w:u w:val="none"/>
        </w:rPr>
        <w:t>Did not contain sworn facts showing imminent danger as required by MCR 3.207(C)(2);</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val="0"/>
          <w:i w:val="0"/>
          <w:sz w:val="24"/>
          <w:u w:val="none"/>
        </w:rPr>
        <w:t>Was not supported by an evidentiary hearing;</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val="0"/>
          <w:i w:val="0"/>
          <w:sz w:val="24"/>
          <w:u w:val="none"/>
        </w:rPr>
        <w:t>Was not accompanied by findings of fact under MCL 722.27.</w:t>
      </w:r>
    </w:p>
    <w:p>
      <w:pPr>
        <w:spacing w:after="0" w:before="0" w:line="480" w:lineRule="auto"/>
        <w:ind w:firstLine="720"/>
        <w:jc w:val="left"/>
      </w:pPr>
      <w:r>
        <w:rPr>
          <w:rFonts w:ascii="Times New Roman" w:hAnsi="Times New Roman"/>
          <w:b/>
          <w:i w:val="0"/>
          <w:sz w:val="24"/>
          <w:u w:val="none"/>
        </w:rPr>
        <w:t xml:space="preserve">15. </w:t>
      </w:r>
      <w:r>
        <w:rPr>
          <w:rFonts w:ascii="Times New Roman" w:hAnsi="Times New Roman"/>
          <w:b w:val="0"/>
          <w:i w:val="0"/>
          <w:sz w:val="24"/>
          <w:u w:val="none"/>
        </w:rPr>
        <w:t>Plaintiff arrived at the scheduled parenting exchange on August 8, 2025, with no knowledge that any ex parte motion had been filed or that any order had been entered. He was "ambushed" — denied contact with his child without any prior notice.</w:t>
      </w:r>
    </w:p>
    <w:p>
      <w:pPr>
        <w:spacing w:after="0" w:before="0" w:line="480" w:lineRule="auto"/>
        <w:ind w:firstLine="720"/>
        <w:jc w:val="left"/>
      </w:pPr>
      <w:r>
        <w:rPr>
          <w:rFonts w:ascii="Times New Roman" w:hAnsi="Times New Roman"/>
          <w:b/>
          <w:i w:val="0"/>
          <w:sz w:val="24"/>
          <w:u w:val="none"/>
        </w:rPr>
        <w:t xml:space="preserve">16. </w:t>
      </w:r>
      <w:r>
        <w:rPr>
          <w:rFonts w:ascii="Times New Roman" w:hAnsi="Times New Roman"/>
          <w:b w:val="0"/>
          <w:i w:val="0"/>
          <w:sz w:val="24"/>
          <w:u w:val="none"/>
        </w:rPr>
        <w:t xml:space="preserve">Since August 8, 2025, Plaintiff has been </w:t>
      </w:r>
      <w:r>
        <w:rPr>
          <w:rFonts w:ascii="Times New Roman" w:hAnsi="Times New Roman"/>
          <w:b/>
          <w:i w:val="0"/>
          <w:sz w:val="24"/>
          <w:u w:val="none"/>
        </w:rPr>
        <w:t>completely separated from L.D.W. for 567+ consecutive days</w:t>
      </w:r>
      <w:r>
        <w:rPr>
          <w:rFonts w:ascii="Times New Roman" w:hAnsi="Times New Roman"/>
          <w:b w:val="0"/>
          <w:i w:val="0"/>
          <w:sz w:val="24"/>
          <w:u w:val="none"/>
        </w:rPr>
        <w:t xml:space="preserve">, with zero contact, zero visitation, and zero parenting time. This constitutes a de facto termination of the parent-child relationship without any of the constitutional protections required by </w:t>
      </w:r>
      <w:r>
        <w:rPr>
          <w:rFonts w:ascii="Times New Roman" w:hAnsi="Times New Roman"/>
          <w:b w:val="0"/>
          <w:i/>
          <w:sz w:val="24"/>
          <w:u w:val="none"/>
        </w:rPr>
        <w:t>Santosky v. Kramer</w:t>
      </w:r>
      <w:r>
        <w:rPr>
          <w:rFonts w:ascii="Times New Roman" w:hAnsi="Times New Roman"/>
          <w:b w:val="0"/>
          <w:i w:val="0"/>
          <w:sz w:val="24"/>
          <w:u w:val="none"/>
        </w:rPr>
        <w:t>, 455 U.S. 745 (1982).</w:t>
      </w:r>
    </w:p>
    <w:p>
      <w:pPr>
        <w:spacing w:after="0" w:before="0" w:line="480" w:lineRule="auto"/>
        <w:jc w:val="left"/>
      </w:pPr>
      <w:r>
        <w:rPr>
          <w:rFonts w:ascii="Times New Roman" w:hAnsi="Times New Roman"/>
          <w:b/>
          <w:i w:val="0"/>
          <w:sz w:val="24"/>
          <w:u w:val="single"/>
        </w:rPr>
        <w:t>C. The $250 Bond — Access to Courts Barrier</w:t>
      </w:r>
    </w:p>
    <w:p>
      <w:pPr>
        <w:spacing w:after="0" w:before="0" w:line="480" w:lineRule="auto"/>
        <w:ind w:firstLine="720"/>
        <w:jc w:val="left"/>
      </w:pPr>
      <w:r>
        <w:rPr>
          <w:rFonts w:ascii="Times New Roman" w:hAnsi="Times New Roman"/>
          <w:b/>
          <w:i w:val="0"/>
          <w:sz w:val="24"/>
          <w:u w:val="none"/>
        </w:rPr>
        <w:t xml:space="preserve">17. </w:t>
      </w:r>
      <w:r>
        <w:rPr>
          <w:rFonts w:ascii="Times New Roman" w:hAnsi="Times New Roman"/>
          <w:b w:val="0"/>
          <w:i w:val="0"/>
          <w:sz w:val="24"/>
          <w:u w:val="none"/>
        </w:rPr>
        <w:t xml:space="preserve">In May 2025, Judge McNeill imposed a </w:t>
      </w:r>
      <w:r>
        <w:rPr>
          <w:rFonts w:ascii="Times New Roman" w:hAnsi="Times New Roman"/>
          <w:b/>
          <w:i w:val="0"/>
          <w:sz w:val="24"/>
          <w:u w:val="none"/>
        </w:rPr>
        <w:t>$250 bond requirement on each new motion</w:t>
      </w:r>
      <w:r>
        <w:rPr>
          <w:rFonts w:ascii="Times New Roman" w:hAnsi="Times New Roman"/>
          <w:b w:val="0"/>
          <w:i w:val="0"/>
          <w:sz w:val="24"/>
          <w:u w:val="none"/>
        </w:rPr>
        <w:t xml:space="preserve"> filed by Plaintiff. This financial barrier was imposed in direct response to Plaintiff's exercise of his right to petition the court for restoration of parenting time.</w:t>
      </w:r>
    </w:p>
    <w:p>
      <w:pPr>
        <w:spacing w:after="0" w:before="0" w:line="480" w:lineRule="auto"/>
        <w:ind w:firstLine="720"/>
        <w:jc w:val="left"/>
      </w:pPr>
      <w:r>
        <w:rPr>
          <w:rFonts w:ascii="Times New Roman" w:hAnsi="Times New Roman"/>
          <w:b/>
          <w:i w:val="0"/>
          <w:sz w:val="24"/>
          <w:u w:val="none"/>
        </w:rPr>
        <w:t xml:space="preserve">18. </w:t>
      </w:r>
      <w:r>
        <w:rPr>
          <w:rFonts w:ascii="Times New Roman" w:hAnsi="Times New Roman"/>
          <w:b w:val="0"/>
          <w:i w:val="0"/>
          <w:sz w:val="24"/>
          <w:u w:val="none"/>
        </w:rPr>
        <w:t>The bond effectively bars Plaintiff from filing any motions to restore parenting time, challenge the ex parte orders, or otherwise access the courts to protect his fundamental liberty interest in his child. Combined with the ex parte suspension, the bond creates a complete deprivation with no available remedy.</w:t>
      </w:r>
    </w:p>
    <w:p>
      <w:pPr>
        <w:spacing w:after="0" w:before="0" w:line="480" w:lineRule="auto"/>
        <w:jc w:val="left"/>
      </w:pPr>
      <w:r>
        <w:rPr>
          <w:rFonts w:ascii="Times New Roman" w:hAnsi="Times New Roman"/>
          <w:b/>
          <w:i w:val="0"/>
          <w:sz w:val="24"/>
          <w:u w:val="single"/>
        </w:rPr>
        <w:t>D. Self-Ruling on Disqualification</w:t>
      </w:r>
    </w:p>
    <w:p>
      <w:pPr>
        <w:spacing w:after="0" w:before="0" w:line="480" w:lineRule="auto"/>
        <w:ind w:firstLine="720"/>
        <w:jc w:val="left"/>
      </w:pPr>
      <w:r>
        <w:rPr>
          <w:rFonts w:ascii="Times New Roman" w:hAnsi="Times New Roman"/>
          <w:b/>
          <w:i w:val="0"/>
          <w:sz w:val="24"/>
          <w:u w:val="none"/>
        </w:rPr>
        <w:t xml:space="preserve">19. </w:t>
      </w:r>
      <w:r>
        <w:rPr>
          <w:rFonts w:ascii="Times New Roman" w:hAnsi="Times New Roman"/>
          <w:b w:val="0"/>
          <w:i w:val="0"/>
          <w:sz w:val="24"/>
          <w:u w:val="none"/>
        </w:rPr>
        <w:t>Plaintiff filed a motion for disqualification of Judge McNeill under MCR 2.003(C), citing the pattern of ex parte orders, bias, and hostile treatment. Under MCR 2.003(D), the Chief Judge — not the challenged judge — must decide a disqualification motion when the challenged judge does not grant it.</w:t>
      </w:r>
    </w:p>
    <w:p>
      <w:pPr>
        <w:spacing w:after="0" w:before="0" w:line="480" w:lineRule="auto"/>
        <w:ind w:firstLine="720"/>
        <w:jc w:val="left"/>
      </w:pPr>
      <w:r>
        <w:rPr>
          <w:rFonts w:ascii="Times New Roman" w:hAnsi="Times New Roman"/>
          <w:b/>
          <w:i w:val="0"/>
          <w:sz w:val="24"/>
          <w:u w:val="none"/>
        </w:rPr>
        <w:t xml:space="preserve">20. </w:t>
      </w:r>
      <w:r>
        <w:rPr>
          <w:rFonts w:ascii="Times New Roman" w:hAnsi="Times New Roman"/>
          <w:b w:val="0"/>
          <w:i w:val="0"/>
          <w:sz w:val="24"/>
          <w:u w:val="none"/>
        </w:rPr>
        <w:t xml:space="preserve">Judge McNeill </w:t>
      </w:r>
      <w:r>
        <w:rPr>
          <w:rFonts w:ascii="Times New Roman" w:hAnsi="Times New Roman"/>
          <w:b/>
          <w:i w:val="0"/>
          <w:sz w:val="24"/>
          <w:u w:val="none"/>
        </w:rPr>
        <w:t>ruled on her own disqualification motion</w:t>
      </w:r>
      <w:r>
        <w:rPr>
          <w:rFonts w:ascii="Times New Roman" w:hAnsi="Times New Roman"/>
          <w:b w:val="0"/>
          <w:i w:val="0"/>
          <w:sz w:val="24"/>
          <w:u w:val="none"/>
        </w:rPr>
        <w:t xml:space="preserve"> and denied it, in violation of MCR 2.003(D). This act was non-judicial in character — it was an administrative decision that the court rules assign to a different judicial officer.</w:t>
      </w:r>
    </w:p>
    <w:p>
      <w:pPr>
        <w:spacing w:after="0" w:before="0" w:line="480" w:lineRule="auto"/>
        <w:jc w:val="left"/>
      </w:pPr>
      <w:r>
        <w:rPr>
          <w:rFonts w:ascii="Times New Roman" w:hAnsi="Times New Roman"/>
          <w:b/>
          <w:i w:val="0"/>
          <w:sz w:val="24"/>
          <w:u w:val="single"/>
        </w:rPr>
        <w:t>E. Silencing and Disparate Treatment</w:t>
      </w:r>
    </w:p>
    <w:p>
      <w:pPr>
        <w:spacing w:after="0" w:before="0" w:line="480" w:lineRule="auto"/>
        <w:ind w:firstLine="720"/>
        <w:jc w:val="left"/>
      </w:pPr>
      <w:r>
        <w:rPr>
          <w:rFonts w:ascii="Times New Roman" w:hAnsi="Times New Roman"/>
          <w:b/>
          <w:i w:val="0"/>
          <w:sz w:val="24"/>
          <w:u w:val="none"/>
        </w:rPr>
        <w:t xml:space="preserve">21. </w:t>
      </w:r>
      <w:r>
        <w:rPr>
          <w:rFonts w:ascii="Times New Roman" w:hAnsi="Times New Roman"/>
          <w:b w:val="0"/>
          <w:i w:val="0"/>
          <w:sz w:val="24"/>
          <w:u w:val="none"/>
        </w:rPr>
        <w:t>At multiple hearings, Plaintiff was muted, silenced, or prevented from presenting evidence. The court refused to view exculpatory photographs from the July 29, 2025 exchange and refused to consider a USB recording submitted by Plaintiff.</w:t>
      </w:r>
    </w:p>
    <w:p>
      <w:pPr>
        <w:spacing w:after="0" w:before="0" w:line="480" w:lineRule="auto"/>
        <w:ind w:firstLine="720"/>
        <w:jc w:val="left"/>
      </w:pPr>
      <w:r>
        <w:rPr>
          <w:rFonts w:ascii="Times New Roman" w:hAnsi="Times New Roman"/>
          <w:b/>
          <w:i w:val="0"/>
          <w:sz w:val="24"/>
          <w:u w:val="none"/>
        </w:rPr>
        <w:t xml:space="preserve">22. </w:t>
      </w:r>
      <w:r>
        <w:rPr>
          <w:rFonts w:ascii="Times New Roman" w:hAnsi="Times New Roman"/>
          <w:b w:val="0"/>
          <w:i w:val="0"/>
          <w:sz w:val="24"/>
          <w:u w:val="none"/>
        </w:rPr>
        <w:t xml:space="preserve">Defendant Watson has faced </w:t>
      </w:r>
      <w:r>
        <w:rPr>
          <w:rFonts w:ascii="Times New Roman" w:hAnsi="Times New Roman"/>
          <w:b/>
          <w:i w:val="0"/>
          <w:sz w:val="24"/>
          <w:u w:val="none"/>
        </w:rPr>
        <w:t>zero sanctions</w:t>
      </w:r>
      <w:r>
        <w:rPr>
          <w:rFonts w:ascii="Times New Roman" w:hAnsi="Times New Roman"/>
          <w:b w:val="0"/>
          <w:i w:val="0"/>
          <w:sz w:val="24"/>
          <w:u w:val="none"/>
        </w:rPr>
        <w:t xml:space="preserve"> despite documented violations, while Plaintiff has been subjected to contempt findings, the $250 bond, and the complete suspension of parenting time. This one-directional pattern of enforcement constitutes disparate treatment.</w:t>
      </w:r>
    </w:p>
    <w:p>
      <w:pPr>
        <w:spacing w:after="0" w:before="0" w:line="480" w:lineRule="auto"/>
        <w:jc w:val="left"/>
      </w:pPr>
      <w:r>
        <w:rPr>
          <w:rFonts w:ascii="Times New Roman" w:hAnsi="Times New Roman"/>
          <w:b/>
          <w:i w:val="0"/>
          <w:sz w:val="24"/>
          <w:u w:val="single"/>
        </w:rPr>
        <w:t>F. The Watson-McNeill-Berry Conspiracy</w:t>
      </w:r>
    </w:p>
    <w:p>
      <w:pPr>
        <w:spacing w:after="0" w:before="0" w:line="480" w:lineRule="auto"/>
        <w:ind w:firstLine="720"/>
        <w:jc w:val="left"/>
      </w:pPr>
      <w:r>
        <w:rPr>
          <w:rFonts w:ascii="Times New Roman" w:hAnsi="Times New Roman"/>
          <w:b/>
          <w:i w:val="0"/>
          <w:sz w:val="24"/>
          <w:u w:val="none"/>
        </w:rPr>
        <w:t xml:space="preserve">23. </w:t>
      </w:r>
      <w:r>
        <w:rPr>
          <w:rFonts w:ascii="Times New Roman" w:hAnsi="Times New Roman"/>
          <w:b w:val="0"/>
          <w:i w:val="0"/>
          <w:sz w:val="24"/>
          <w:u w:val="none"/>
        </w:rPr>
        <w:t>A documented temporal coordination pattern establishes a conspiracy among the three Defendants:</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i w:val="0"/>
          <w:sz w:val="24"/>
          <w:u w:val="none"/>
        </w:rPr>
        <w:t>Watson files</w:t>
      </w:r>
      <w:r>
        <w:rPr>
          <w:rFonts w:ascii="Times New Roman" w:hAnsi="Times New Roman"/>
          <w:b w:val="0"/>
          <w:i w:val="0"/>
          <w:sz w:val="24"/>
          <w:u w:val="none"/>
        </w:rPr>
        <w:t xml:space="preserve"> a motion or allegation;</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i w:val="0"/>
          <w:sz w:val="24"/>
          <w:u w:val="none"/>
        </w:rPr>
        <w:t>McNeill rules</w:t>
      </w:r>
      <w:r>
        <w:rPr>
          <w:rFonts w:ascii="Times New Roman" w:hAnsi="Times New Roman"/>
          <w:b w:val="0"/>
          <w:i w:val="0"/>
          <w:sz w:val="24"/>
          <w:u w:val="none"/>
        </w:rPr>
        <w:t xml:space="preserve"> on it </w:t>
      </w:r>
      <w:r>
        <w:rPr>
          <w:rFonts w:ascii="Times New Roman" w:hAnsi="Times New Roman"/>
          <w:b/>
          <w:i w:val="0"/>
          <w:sz w:val="24"/>
          <w:u w:val="none"/>
        </w:rPr>
        <w:t>the same day</w:t>
      </w:r>
      <w:r>
        <w:rPr>
          <w:rFonts w:ascii="Times New Roman" w:hAnsi="Times New Roman"/>
          <w:b w:val="0"/>
          <w:i w:val="0"/>
          <w:sz w:val="24"/>
          <w:u w:val="none"/>
        </w:rPr>
        <w:t xml:space="preserve"> — without notice to Plaintiff;</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i w:val="0"/>
          <w:sz w:val="24"/>
          <w:u w:val="none"/>
        </w:rPr>
        <w:t>Berry files</w:t>
      </w:r>
      <w:r>
        <w:rPr>
          <w:rFonts w:ascii="Times New Roman" w:hAnsi="Times New Roman"/>
          <w:b w:val="0"/>
          <w:i w:val="0"/>
          <w:sz w:val="24"/>
          <w:u w:val="none"/>
        </w:rPr>
        <w:t xml:space="preserve"> supporting documents </w:t>
      </w:r>
      <w:r>
        <w:rPr>
          <w:rFonts w:ascii="Times New Roman" w:hAnsi="Times New Roman"/>
          <w:b/>
          <w:i w:val="0"/>
          <w:sz w:val="24"/>
          <w:u w:val="none"/>
        </w:rPr>
        <w:t>within 48 hours</w:t>
      </w:r>
      <w:r>
        <w:rPr>
          <w:rFonts w:ascii="Times New Roman" w:hAnsi="Times New Roman"/>
          <w:b w:val="0"/>
          <w:i w:val="0"/>
          <w:sz w:val="24"/>
          <w:u w:val="none"/>
        </w:rPr>
        <w:t>.</w:t>
      </w:r>
    </w:p>
    <w:p>
      <w:pPr>
        <w:spacing w:after="0" w:before="0" w:line="480" w:lineRule="auto"/>
        <w:ind w:firstLine="720"/>
        <w:jc w:val="left"/>
      </w:pPr>
      <w:r>
        <w:rPr>
          <w:rFonts w:ascii="Times New Roman" w:hAnsi="Times New Roman"/>
          <w:b/>
          <w:i w:val="0"/>
          <w:sz w:val="24"/>
          <w:u w:val="none"/>
        </w:rPr>
        <w:t xml:space="preserve">24. </w:t>
      </w:r>
      <w:r>
        <w:rPr>
          <w:rFonts w:ascii="Times New Roman" w:hAnsi="Times New Roman"/>
          <w:b w:val="0"/>
          <w:i w:val="0"/>
          <w:sz w:val="24"/>
          <w:u w:val="none"/>
        </w:rPr>
        <w:t>This pattern has repeated across months and is documented in the litigation database through temporal analysis of docket entries. The probability that this one-directional coordination occurred by coincidence is negligible.</w:t>
      </w:r>
    </w:p>
    <w:p>
      <w:pPr>
        <w:spacing w:after="0" w:before="0" w:line="480" w:lineRule="auto"/>
        <w:ind w:firstLine="720"/>
        <w:jc w:val="left"/>
      </w:pPr>
      <w:r>
        <w:rPr>
          <w:rFonts w:ascii="Times New Roman" w:hAnsi="Times New Roman"/>
          <w:b/>
          <w:i w:val="0"/>
          <w:sz w:val="24"/>
          <w:u w:val="none"/>
        </w:rPr>
        <w:t xml:space="preserve">25. </w:t>
      </w:r>
      <w:r>
        <w:rPr>
          <w:rFonts w:ascii="Times New Roman" w:hAnsi="Times New Roman"/>
          <w:b w:val="0"/>
          <w:i w:val="0"/>
          <w:sz w:val="24"/>
          <w:u w:val="none"/>
        </w:rPr>
        <w:t xml:space="preserve">The PPO-custody cross-reference reveals </w:t>
      </w:r>
      <w:r>
        <w:rPr>
          <w:rFonts w:ascii="Times New Roman" w:hAnsi="Times New Roman"/>
          <w:b/>
          <w:i w:val="0"/>
          <w:sz w:val="24"/>
          <w:u w:val="none"/>
        </w:rPr>
        <w:t>30+ events</w:t>
      </w:r>
      <w:r>
        <w:rPr>
          <w:rFonts w:ascii="Times New Roman" w:hAnsi="Times New Roman"/>
          <w:b w:val="0"/>
          <w:i w:val="0"/>
          <w:sz w:val="24"/>
          <w:u w:val="none"/>
        </w:rPr>
        <w:t xml:space="preserve"> where PPO actions and custody actions occurred on the same day (0 days apart), all scoring 10/10 on weaponization analysis — indicating the PPO and custody proceedings were wielded as coordinated instruments, not independent legal actions.</w:t>
      </w:r>
    </w:p>
    <w:p>
      <w:pPr>
        <w:spacing w:after="0" w:before="0" w:line="480" w:lineRule="auto"/>
        <w:ind w:firstLine="720"/>
        <w:jc w:val="left"/>
      </w:pPr>
      <w:r>
        <w:rPr>
          <w:rFonts w:ascii="Times New Roman" w:hAnsi="Times New Roman"/>
          <w:b/>
          <w:i w:val="0"/>
          <w:sz w:val="24"/>
          <w:u w:val="none"/>
        </w:rPr>
        <w:t xml:space="preserve">26. </w:t>
      </w:r>
      <w:r>
        <w:rPr>
          <w:rFonts w:ascii="Times New Roman" w:hAnsi="Times New Roman"/>
          <w:b w:val="0"/>
          <w:i w:val="0"/>
          <w:sz w:val="24"/>
          <w:u w:val="none"/>
        </w:rPr>
        <w:t xml:space="preserve">Ron Berry's voicemail to Plaintiff (Item #6, ex parte objection table), combined with the December 18, 2024 transcription filing, constitutes </w:t>
      </w:r>
      <w:r>
        <w:rPr>
          <w:rFonts w:ascii="Times New Roman" w:hAnsi="Times New Roman"/>
          <w:b/>
          <w:i w:val="0"/>
          <w:sz w:val="24"/>
          <w:u w:val="none"/>
        </w:rPr>
        <w:t>direct evidence</w:t>
      </w:r>
      <w:r>
        <w:rPr>
          <w:rFonts w:ascii="Times New Roman" w:hAnsi="Times New Roman"/>
          <w:b w:val="0"/>
          <w:i w:val="0"/>
          <w:sz w:val="24"/>
          <w:u w:val="none"/>
        </w:rPr>
        <w:t xml:space="preserve"> of Berry's participation in ex parte communications outside the formal record.</w:t>
      </w:r>
    </w:p>
    <w:p>
      <w:pPr>
        <w:spacing w:after="0" w:before="0" w:line="480" w:lineRule="auto"/>
        <w:ind w:firstLine="720"/>
        <w:jc w:val="left"/>
      </w:pPr>
      <w:r>
        <w:rPr>
          <w:rFonts w:ascii="Times New Roman" w:hAnsi="Times New Roman"/>
          <w:b/>
          <w:i w:val="0"/>
          <w:sz w:val="24"/>
          <w:u w:val="none"/>
        </w:rPr>
        <w:t xml:space="preserve">27. </w:t>
      </w:r>
      <w:r>
        <w:rPr>
          <w:rFonts w:ascii="Times New Roman" w:hAnsi="Times New Roman"/>
          <w:b w:val="0"/>
          <w:i w:val="0"/>
          <w:sz w:val="24"/>
          <w:u w:val="none"/>
        </w:rPr>
        <w:t>Berry's position as an appellate attorney with professional connections to the Michigan Court of Appeals creates a structural conflict that compromises the appellate proceedings in COA Case No. 366810.</w:t>
      </w:r>
    </w:p>
    <w:p>
      <w:pPr>
        <w:spacing w:after="0" w:before="0" w:line="480" w:lineRule="auto"/>
        <w:jc w:val="left"/>
      </w:pPr>
      <w:r>
        <w:rPr>
          <w:rFonts w:ascii="Times New Roman" w:hAnsi="Times New Roman"/>
          <w:b/>
          <w:i w:val="0"/>
          <w:sz w:val="24"/>
          <w:u w:val="single"/>
        </w:rPr>
        <w:t>G. Exhaustion of Available Remedies</w:t>
      </w:r>
    </w:p>
    <w:p>
      <w:pPr>
        <w:spacing w:after="0" w:before="0" w:line="480" w:lineRule="auto"/>
        <w:ind w:firstLine="720"/>
        <w:jc w:val="left"/>
      </w:pPr>
      <w:r>
        <w:rPr>
          <w:rFonts w:ascii="Times New Roman" w:hAnsi="Times New Roman"/>
          <w:b/>
          <w:i w:val="0"/>
          <w:sz w:val="24"/>
          <w:u w:val="none"/>
        </w:rPr>
        <w:t xml:space="preserve">28. </w:t>
      </w:r>
      <w:r>
        <w:rPr>
          <w:rFonts w:ascii="Times New Roman" w:hAnsi="Times New Roman"/>
          <w:b w:val="0"/>
          <w:i w:val="0"/>
          <w:sz w:val="24"/>
          <w:u w:val="none"/>
        </w:rPr>
        <w:t>Plaintiff has pursued every available state remedy:</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i w:val="0"/>
          <w:sz w:val="24"/>
          <w:u w:val="none"/>
        </w:rPr>
        <w:t>Motion for Reconsideration</w:t>
      </w:r>
      <w:r>
        <w:rPr>
          <w:rFonts w:ascii="Times New Roman" w:hAnsi="Times New Roman"/>
          <w:b w:val="0"/>
          <w:i w:val="0"/>
          <w:sz w:val="24"/>
          <w:u w:val="none"/>
        </w:rPr>
        <w:t xml:space="preserve"> in 14th Circuit Court — denied;</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i w:val="0"/>
          <w:sz w:val="24"/>
          <w:u w:val="none"/>
        </w:rPr>
        <w:t>Motion to Restore Parenting Time</w:t>
      </w:r>
      <w:r>
        <w:rPr>
          <w:rFonts w:ascii="Times New Roman" w:hAnsi="Times New Roman"/>
          <w:b w:val="0"/>
          <w:i w:val="0"/>
          <w:sz w:val="24"/>
          <w:u w:val="none"/>
        </w:rPr>
        <w:t xml:space="preserve"> — denied;</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i w:val="0"/>
          <w:sz w:val="24"/>
          <w:u w:val="none"/>
        </w:rPr>
        <w:t>Motion for Disqualification</w:t>
      </w:r>
      <w:r>
        <w:rPr>
          <w:rFonts w:ascii="Times New Roman" w:hAnsi="Times New Roman"/>
          <w:b w:val="0"/>
          <w:i w:val="0"/>
          <w:sz w:val="24"/>
          <w:u w:val="none"/>
        </w:rPr>
        <w:t xml:space="preserve"> — McNeill self-ruled and denied;</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i w:val="0"/>
          <w:sz w:val="24"/>
          <w:u w:val="none"/>
        </w:rPr>
        <w:t>Appeal of Right</w:t>
      </w:r>
      <w:r>
        <w:rPr>
          <w:rFonts w:ascii="Times New Roman" w:hAnsi="Times New Roman"/>
          <w:b w:val="0"/>
          <w:i w:val="0"/>
          <w:sz w:val="24"/>
          <w:u w:val="none"/>
        </w:rPr>
        <w:t xml:space="preserve"> (COA 366810) — filed and pending for months with no action;</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i w:val="0"/>
          <w:sz w:val="24"/>
          <w:u w:val="none"/>
        </w:rPr>
        <w:t>Friend of Court involvement</w:t>
      </w:r>
      <w:r>
        <w:rPr>
          <w:rFonts w:ascii="Times New Roman" w:hAnsi="Times New Roman"/>
          <w:b w:val="0"/>
          <w:i w:val="0"/>
          <w:sz w:val="24"/>
          <w:u w:val="none"/>
        </w:rPr>
        <w:t xml:space="preserve"> — ineffective, no enforcement power against judicial conduct;</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i w:val="0"/>
          <w:sz w:val="24"/>
          <w:u w:val="none"/>
        </w:rPr>
        <w:t>$250 bond</w:t>
      </w:r>
      <w:r>
        <w:rPr>
          <w:rFonts w:ascii="Times New Roman" w:hAnsi="Times New Roman"/>
          <w:b w:val="0"/>
          <w:i w:val="0"/>
          <w:sz w:val="24"/>
          <w:u w:val="none"/>
        </w:rPr>
        <w:t xml:space="preserve"> now blocks ALL further filings in the lower court.</w:t>
      </w:r>
    </w:p>
    <w:p>
      <w:pPr>
        <w:spacing w:after="0" w:before="0" w:line="480" w:lineRule="auto"/>
        <w:ind w:firstLine="720"/>
        <w:jc w:val="left"/>
      </w:pPr>
      <w:r>
        <w:rPr>
          <w:rFonts w:ascii="Times New Roman" w:hAnsi="Times New Roman"/>
          <w:b/>
          <w:i w:val="0"/>
          <w:sz w:val="24"/>
          <w:u w:val="none"/>
        </w:rPr>
        <w:t xml:space="preserve">29. </w:t>
      </w:r>
      <w:r>
        <w:rPr>
          <w:rFonts w:ascii="Times New Roman" w:hAnsi="Times New Roman"/>
          <w:b w:val="0"/>
          <w:i w:val="0"/>
          <w:sz w:val="24"/>
          <w:u w:val="none"/>
        </w:rPr>
        <w:t>Each remedy has proven inadequate: the lower court is controlled by a hostile judge who entered 24 ex parte orders; the COA is compromised by Berry's appellate connections and is too slow to address 567+ days of ongoing harm; and the Friend of Court has no authority to remedy judicial misconduct.</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IV. COUNT I: DEPRIVATION OF SUBSTANTIVE DUE PROCESS</w:t>
      </w:r>
    </w:p>
    <w:p>
      <w:pPr>
        <w:spacing w:after="0" w:before="0" w:line="480" w:lineRule="auto"/>
        <w:jc w:val="left"/>
      </w:pPr>
      <w:r>
        <w:rPr>
          <w:rFonts w:ascii="Times New Roman" w:hAnsi="Times New Roman"/>
          <w:b/>
          <w:i w:val="0"/>
          <w:sz w:val="24"/>
          <w:u w:val="single"/>
        </w:rPr>
        <w:t>(42 U.S.C. § 1983 — Fourteenth Amendment)</w:t>
      </w:r>
    </w:p>
    <w:p>
      <w:pPr>
        <w:spacing w:after="0" w:before="0" w:line="480" w:lineRule="auto"/>
        <w:jc w:val="left"/>
      </w:pPr>
      <w:r>
        <w:rPr>
          <w:rFonts w:ascii="Times New Roman" w:hAnsi="Times New Roman"/>
          <w:b/>
          <w:i w:val="0"/>
          <w:sz w:val="24"/>
          <w:u w:val="single"/>
        </w:rPr>
        <w:t>Against All Defendants</w:t>
      </w:r>
    </w:p>
    <w:p>
      <w:pPr>
        <w:spacing w:after="0" w:before="0" w:line="480" w:lineRule="auto"/>
        <w:ind w:firstLine="720"/>
        <w:jc w:val="left"/>
      </w:pPr>
      <w:r>
        <w:rPr>
          <w:rFonts w:ascii="Times New Roman" w:hAnsi="Times New Roman"/>
          <w:b/>
          <w:i w:val="0"/>
          <w:sz w:val="24"/>
          <w:u w:val="none"/>
        </w:rPr>
        <w:t xml:space="preserve">30. </w:t>
      </w:r>
      <w:r>
        <w:rPr>
          <w:rFonts w:ascii="Times New Roman" w:hAnsi="Times New Roman"/>
          <w:b w:val="0"/>
          <w:i w:val="0"/>
          <w:sz w:val="24"/>
          <w:u w:val="none"/>
        </w:rPr>
        <w:t>Plaintiff repeats and incorporates by reference the allegations in Paragraphs 1 through 29.</w:t>
      </w:r>
    </w:p>
    <w:p>
      <w:pPr>
        <w:spacing w:after="0" w:before="0" w:line="480" w:lineRule="auto"/>
        <w:ind w:firstLine="720"/>
        <w:jc w:val="left"/>
      </w:pPr>
      <w:r>
        <w:rPr>
          <w:rFonts w:ascii="Times New Roman" w:hAnsi="Times New Roman"/>
          <w:b/>
          <w:i w:val="0"/>
          <w:sz w:val="24"/>
          <w:u w:val="none"/>
        </w:rPr>
        <w:t xml:space="preserve">31. </w:t>
      </w:r>
      <w:r>
        <w:rPr>
          <w:rFonts w:ascii="Times New Roman" w:hAnsi="Times New Roman"/>
          <w:b w:val="0"/>
          <w:i w:val="0"/>
          <w:sz w:val="24"/>
          <w:u w:val="none"/>
        </w:rPr>
        <w:t xml:space="preserve">The right of a parent to the "care, custody, and control" of his child is "perhaps the oldest of the fundamental liberty interests recognized by this Court." </w:t>
      </w:r>
      <w:r>
        <w:rPr>
          <w:rFonts w:ascii="Times New Roman" w:hAnsi="Times New Roman"/>
          <w:b w:val="0"/>
          <w:i/>
          <w:sz w:val="24"/>
          <w:u w:val="none"/>
        </w:rPr>
        <w:t>Troxel v. Granville</w:t>
      </w:r>
      <w:r>
        <w:rPr>
          <w:rFonts w:ascii="Times New Roman" w:hAnsi="Times New Roman"/>
          <w:b w:val="0"/>
          <w:i w:val="0"/>
          <w:sz w:val="24"/>
          <w:u w:val="none"/>
        </w:rPr>
        <w:t xml:space="preserve">, 530 U.S. 57, 65 (2000). </w:t>
      </w:r>
      <w:r>
        <w:rPr>
          <w:rFonts w:ascii="Times New Roman" w:hAnsi="Times New Roman"/>
          <w:b w:val="0"/>
          <w:i/>
          <w:sz w:val="24"/>
          <w:u w:val="none"/>
        </w:rPr>
        <w:t>See also Stanley v. Illinois</w:t>
      </w:r>
      <w:r>
        <w:rPr>
          <w:rFonts w:ascii="Times New Roman" w:hAnsi="Times New Roman"/>
          <w:b w:val="0"/>
          <w:i w:val="0"/>
          <w:sz w:val="24"/>
          <w:u w:val="none"/>
        </w:rPr>
        <w:t xml:space="preserve">, 405 U.S. 645 (1972); </w:t>
      </w:r>
      <w:r>
        <w:rPr>
          <w:rFonts w:ascii="Times New Roman" w:hAnsi="Times New Roman"/>
          <w:b w:val="0"/>
          <w:i/>
          <w:sz w:val="24"/>
          <w:u w:val="none"/>
        </w:rPr>
        <w:t>Santosky v. Kramer</w:t>
      </w:r>
      <w:r>
        <w:rPr>
          <w:rFonts w:ascii="Times New Roman" w:hAnsi="Times New Roman"/>
          <w:b w:val="0"/>
          <w:i w:val="0"/>
          <w:sz w:val="24"/>
          <w:u w:val="none"/>
        </w:rPr>
        <w:t>, 455 U.S. 745, 753 (1982).</w:t>
      </w:r>
    </w:p>
    <w:p>
      <w:pPr>
        <w:spacing w:after="0" w:before="0" w:line="480" w:lineRule="auto"/>
        <w:ind w:firstLine="720"/>
        <w:jc w:val="left"/>
      </w:pPr>
      <w:r>
        <w:rPr>
          <w:rFonts w:ascii="Times New Roman" w:hAnsi="Times New Roman"/>
          <w:b/>
          <w:i w:val="0"/>
          <w:sz w:val="24"/>
          <w:u w:val="none"/>
        </w:rPr>
        <w:t xml:space="preserve">32. </w:t>
      </w:r>
      <w:r>
        <w:rPr>
          <w:rFonts w:ascii="Times New Roman" w:hAnsi="Times New Roman"/>
          <w:b w:val="0"/>
          <w:i w:val="0"/>
          <w:sz w:val="24"/>
          <w:u w:val="none"/>
        </w:rPr>
        <w:t xml:space="preserve">Government interference with a fundamental liberty interest must survive </w:t>
      </w:r>
      <w:r>
        <w:rPr>
          <w:rFonts w:ascii="Times New Roman" w:hAnsi="Times New Roman"/>
          <w:b/>
          <w:i w:val="0"/>
          <w:sz w:val="24"/>
          <w:u w:val="none"/>
        </w:rPr>
        <w:t>strict scrutiny</w:t>
      </w:r>
      <w:r>
        <w:rPr>
          <w:rFonts w:ascii="Times New Roman" w:hAnsi="Times New Roman"/>
          <w:b w:val="0"/>
          <w:i w:val="0"/>
          <w:sz w:val="24"/>
          <w:u w:val="none"/>
        </w:rPr>
        <w:t xml:space="preserve"> — it must be narrowly tailored to serve a compelling government interest. </w:t>
      </w:r>
      <w:r>
        <w:rPr>
          <w:rFonts w:ascii="Times New Roman" w:hAnsi="Times New Roman"/>
          <w:b w:val="0"/>
          <w:i/>
          <w:sz w:val="24"/>
          <w:u w:val="none"/>
        </w:rPr>
        <w:t>Washington v. Glucksberg</w:t>
      </w:r>
      <w:r>
        <w:rPr>
          <w:rFonts w:ascii="Times New Roman" w:hAnsi="Times New Roman"/>
          <w:b w:val="0"/>
          <w:i w:val="0"/>
          <w:sz w:val="24"/>
          <w:u w:val="none"/>
        </w:rPr>
        <w:t>, 521 U.S. 702, 720-21 (1997).</w:t>
      </w:r>
    </w:p>
    <w:p>
      <w:pPr>
        <w:spacing w:after="0" w:before="0" w:line="480" w:lineRule="auto"/>
        <w:ind w:firstLine="720"/>
        <w:jc w:val="left"/>
      </w:pPr>
      <w:r>
        <w:rPr>
          <w:rFonts w:ascii="Times New Roman" w:hAnsi="Times New Roman"/>
          <w:b/>
          <w:i w:val="0"/>
          <w:sz w:val="24"/>
          <w:u w:val="none"/>
        </w:rPr>
        <w:t xml:space="preserve">33. </w:t>
      </w:r>
      <w:r>
        <w:rPr>
          <w:rFonts w:ascii="Times New Roman" w:hAnsi="Times New Roman"/>
          <w:b w:val="0"/>
          <w:i w:val="0"/>
          <w:sz w:val="24"/>
          <w:u w:val="none"/>
        </w:rPr>
        <w:t xml:space="preserve">Defendants' actions — entering ex parte orders suspending ALL parenting time without sworn evidence of imminent danger, maintaining a total separation for 567+ days, and blocking access to the courts — constitute a </w:t>
      </w:r>
      <w:r>
        <w:rPr>
          <w:rFonts w:ascii="Times New Roman" w:hAnsi="Times New Roman"/>
          <w:b/>
          <w:i w:val="0"/>
          <w:sz w:val="24"/>
          <w:u w:val="none"/>
        </w:rPr>
        <w:t>total deprivation</w:t>
      </w:r>
      <w:r>
        <w:rPr>
          <w:rFonts w:ascii="Times New Roman" w:hAnsi="Times New Roman"/>
          <w:b w:val="0"/>
          <w:i w:val="0"/>
          <w:sz w:val="24"/>
          <w:u w:val="none"/>
        </w:rPr>
        <w:t xml:space="preserve"> of Plaintiff's fundamental liberty interest in his parental relationship with L.D.W.</w:t>
      </w:r>
    </w:p>
    <w:p>
      <w:pPr>
        <w:spacing w:after="0" w:before="0" w:line="480" w:lineRule="auto"/>
        <w:ind w:firstLine="720"/>
        <w:jc w:val="left"/>
      </w:pPr>
      <w:r>
        <w:rPr>
          <w:rFonts w:ascii="Times New Roman" w:hAnsi="Times New Roman"/>
          <w:b/>
          <w:i w:val="0"/>
          <w:sz w:val="24"/>
          <w:u w:val="none"/>
        </w:rPr>
        <w:t xml:space="preserve">34. </w:t>
      </w:r>
      <w:r>
        <w:rPr>
          <w:rFonts w:ascii="Times New Roman" w:hAnsi="Times New Roman"/>
          <w:b w:val="0"/>
          <w:i w:val="0"/>
          <w:sz w:val="24"/>
          <w:u w:val="none"/>
        </w:rPr>
        <w:t>No compelling government interest justifies this prolonged, complete deprivation. No evidence of imminent danger was presented. No best-interest-factor hearing was conducted under MCL 722.23. No clear and convincing evidence was offered. The deprivation was arbitrary, conscience-shocking, and without rational justification.</w:t>
      </w:r>
    </w:p>
    <w:p>
      <w:pPr>
        <w:spacing w:after="0" w:before="0" w:line="480" w:lineRule="auto"/>
        <w:ind w:firstLine="720"/>
        <w:jc w:val="left"/>
      </w:pPr>
      <w:r>
        <w:rPr>
          <w:rFonts w:ascii="Times New Roman" w:hAnsi="Times New Roman"/>
          <w:b/>
          <w:i w:val="0"/>
          <w:sz w:val="24"/>
          <w:u w:val="none"/>
        </w:rPr>
        <w:t xml:space="preserve">35. </w:t>
      </w:r>
      <w:r>
        <w:rPr>
          <w:rFonts w:ascii="Times New Roman" w:hAnsi="Times New Roman"/>
          <w:b w:val="0"/>
          <w:i w:val="0"/>
          <w:sz w:val="24"/>
          <w:u w:val="none"/>
        </w:rPr>
        <w:t xml:space="preserve">The Sixth Circuit recognizes substantive due process protection for parent-child relationships. </w:t>
      </w:r>
      <w:r>
        <w:rPr>
          <w:rFonts w:ascii="Times New Roman" w:hAnsi="Times New Roman"/>
          <w:b w:val="0"/>
          <w:i/>
          <w:sz w:val="24"/>
          <w:u w:val="none"/>
        </w:rPr>
        <w:t>Doe v. Claiborne County</w:t>
      </w:r>
      <w:r>
        <w:rPr>
          <w:rFonts w:ascii="Times New Roman" w:hAnsi="Times New Roman"/>
          <w:b w:val="0"/>
          <w:i w:val="0"/>
          <w:sz w:val="24"/>
          <w:u w:val="none"/>
        </w:rPr>
        <w:t xml:space="preserve">, 103 F.3d 495, 506 (6th Cir. 1996). State actions that "shock the conscience" or are "arbitrary in the constitutional sense" violate substantive due process. </w:t>
      </w:r>
      <w:r>
        <w:rPr>
          <w:rFonts w:ascii="Times New Roman" w:hAnsi="Times New Roman"/>
          <w:b w:val="0"/>
          <w:i/>
          <w:sz w:val="24"/>
          <w:u w:val="none"/>
        </w:rPr>
        <w:t>County of Sacramento v. Lewis</w:t>
      </w:r>
      <w:r>
        <w:rPr>
          <w:rFonts w:ascii="Times New Roman" w:hAnsi="Times New Roman"/>
          <w:b w:val="0"/>
          <w:i w:val="0"/>
          <w:sz w:val="24"/>
          <w:u w:val="none"/>
        </w:rPr>
        <w:t>, 523 U.S. 833, 846 (1998).</w:t>
      </w:r>
    </w:p>
    <w:p>
      <w:pPr>
        <w:spacing w:after="0" w:before="0" w:line="480" w:lineRule="auto"/>
        <w:ind w:firstLine="720"/>
        <w:jc w:val="left"/>
      </w:pPr>
      <w:r>
        <w:rPr>
          <w:rFonts w:ascii="Times New Roman" w:hAnsi="Times New Roman"/>
          <w:b/>
          <w:i w:val="0"/>
          <w:sz w:val="24"/>
          <w:u w:val="none"/>
        </w:rPr>
        <w:t xml:space="preserve">36. </w:t>
      </w:r>
      <w:r>
        <w:rPr>
          <w:rFonts w:ascii="Times New Roman" w:hAnsi="Times New Roman"/>
          <w:b w:val="0"/>
          <w:i w:val="0"/>
          <w:sz w:val="24"/>
          <w:u w:val="none"/>
        </w:rPr>
        <w:t>A total, 567-day separation of a father from his three-year-old child — imposed without a hearing, maintained through a pattern of ex parte orders, and enforced by a $250 access barrier — shocks the conscience and is arbitrary in the constitutional sense.</w:t>
      </w:r>
    </w:p>
    <w:p>
      <w:pPr>
        <w:spacing w:after="0" w:before="0" w:line="480" w:lineRule="auto"/>
        <w:ind w:firstLine="720"/>
        <w:jc w:val="left"/>
      </w:pPr>
      <w:r>
        <w:rPr>
          <w:rFonts w:ascii="Times New Roman" w:hAnsi="Times New Roman"/>
          <w:b/>
          <w:i w:val="0"/>
          <w:sz w:val="24"/>
          <w:u w:val="none"/>
        </w:rPr>
        <w:t xml:space="preserve">37. </w:t>
      </w:r>
      <w:r>
        <w:rPr>
          <w:rFonts w:ascii="Times New Roman" w:hAnsi="Times New Roman"/>
          <w:b w:val="0"/>
          <w:i w:val="0"/>
          <w:sz w:val="24"/>
          <w:u w:val="none"/>
        </w:rPr>
        <w:t>Plaintiff has suffered and continues to suffer irreparable injury as a direct and proximate result of Defendants' conduct.</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V. COUNT II: DEPRIVATION OF PROCEDURAL DUE PROCESS</w:t>
      </w:r>
    </w:p>
    <w:p>
      <w:pPr>
        <w:spacing w:after="0" w:before="0" w:line="480" w:lineRule="auto"/>
        <w:jc w:val="left"/>
      </w:pPr>
      <w:r>
        <w:rPr>
          <w:rFonts w:ascii="Times New Roman" w:hAnsi="Times New Roman"/>
          <w:b/>
          <w:i w:val="0"/>
          <w:sz w:val="24"/>
          <w:u w:val="single"/>
        </w:rPr>
        <w:t>(42 U.S.C. § 1983 — Fourteenth Amendment)</w:t>
      </w:r>
    </w:p>
    <w:p>
      <w:pPr>
        <w:spacing w:after="0" w:before="0" w:line="480" w:lineRule="auto"/>
        <w:jc w:val="left"/>
      </w:pPr>
      <w:r>
        <w:rPr>
          <w:rFonts w:ascii="Times New Roman" w:hAnsi="Times New Roman"/>
          <w:b/>
          <w:i w:val="0"/>
          <w:sz w:val="24"/>
          <w:u w:val="single"/>
        </w:rPr>
        <w:t>Against All Defendants</w:t>
      </w:r>
    </w:p>
    <w:p>
      <w:pPr>
        <w:spacing w:after="0" w:before="0" w:line="480" w:lineRule="auto"/>
        <w:ind w:firstLine="720"/>
        <w:jc w:val="left"/>
      </w:pPr>
      <w:r>
        <w:rPr>
          <w:rFonts w:ascii="Times New Roman" w:hAnsi="Times New Roman"/>
          <w:b/>
          <w:i w:val="0"/>
          <w:sz w:val="24"/>
          <w:u w:val="none"/>
        </w:rPr>
        <w:t xml:space="preserve">38. </w:t>
      </w:r>
      <w:r>
        <w:rPr>
          <w:rFonts w:ascii="Times New Roman" w:hAnsi="Times New Roman"/>
          <w:b w:val="0"/>
          <w:i w:val="0"/>
          <w:sz w:val="24"/>
          <w:u w:val="none"/>
        </w:rPr>
        <w:t>Plaintiff repeats and incorporates by reference the allegations in Paragraphs 1 through 37.</w:t>
      </w:r>
    </w:p>
    <w:p>
      <w:pPr>
        <w:spacing w:after="0" w:before="0" w:line="480" w:lineRule="auto"/>
        <w:ind w:firstLine="720"/>
        <w:jc w:val="left"/>
      </w:pPr>
      <w:r>
        <w:rPr>
          <w:rFonts w:ascii="Times New Roman" w:hAnsi="Times New Roman"/>
          <w:b/>
          <w:i w:val="0"/>
          <w:sz w:val="24"/>
          <w:u w:val="none"/>
        </w:rPr>
        <w:t xml:space="preserve">39. </w:t>
      </w:r>
      <w:r>
        <w:rPr>
          <w:rFonts w:ascii="Times New Roman" w:hAnsi="Times New Roman"/>
          <w:b w:val="0"/>
          <w:i w:val="0"/>
          <w:sz w:val="24"/>
          <w:u w:val="none"/>
        </w:rPr>
        <w:t xml:space="preserve">Procedural due process requires, at minimum, (1) adequate notice, (2) a meaningful opportunity to be heard, and (3) a neutral decision-maker, </w:t>
      </w:r>
      <w:r>
        <w:rPr>
          <w:rFonts w:ascii="Times New Roman" w:hAnsi="Times New Roman"/>
          <w:b w:val="0"/>
          <w:i/>
          <w:sz w:val="24"/>
          <w:u w:val="none"/>
        </w:rPr>
        <w:t>before</w:t>
      </w:r>
      <w:r>
        <w:rPr>
          <w:rFonts w:ascii="Times New Roman" w:hAnsi="Times New Roman"/>
          <w:b w:val="0"/>
          <w:i w:val="0"/>
          <w:sz w:val="24"/>
          <w:u w:val="none"/>
        </w:rPr>
        <w:t xml:space="preserve"> the government deprives a person of a protected liberty or property interest. </w:t>
      </w:r>
      <w:r>
        <w:rPr>
          <w:rFonts w:ascii="Times New Roman" w:hAnsi="Times New Roman"/>
          <w:b w:val="0"/>
          <w:i/>
          <w:sz w:val="24"/>
          <w:u w:val="none"/>
        </w:rPr>
        <w:t>Mathews v. Eldridge</w:t>
      </w:r>
      <w:r>
        <w:rPr>
          <w:rFonts w:ascii="Times New Roman" w:hAnsi="Times New Roman"/>
          <w:b w:val="0"/>
          <w:i w:val="0"/>
          <w:sz w:val="24"/>
          <w:u w:val="none"/>
        </w:rPr>
        <w:t>, 424 U.S. 319, 333 (1976).</w:t>
      </w:r>
    </w:p>
    <w:p>
      <w:pPr>
        <w:spacing w:after="0" w:before="0" w:line="480" w:lineRule="auto"/>
        <w:ind w:firstLine="720"/>
        <w:jc w:val="left"/>
      </w:pPr>
      <w:r>
        <w:rPr>
          <w:rFonts w:ascii="Times New Roman" w:hAnsi="Times New Roman"/>
          <w:b/>
          <w:i w:val="0"/>
          <w:sz w:val="24"/>
          <w:u w:val="none"/>
        </w:rPr>
        <w:t xml:space="preserve">40. </w:t>
      </w:r>
      <w:r>
        <w:rPr>
          <w:rFonts w:ascii="Times New Roman" w:hAnsi="Times New Roman"/>
          <w:b w:val="0"/>
          <w:i w:val="0"/>
          <w:sz w:val="24"/>
          <w:u w:val="none"/>
        </w:rPr>
        <w:t xml:space="preserve">The </w:t>
      </w:r>
      <w:r>
        <w:rPr>
          <w:rFonts w:ascii="Times New Roman" w:hAnsi="Times New Roman"/>
          <w:b w:val="0"/>
          <w:i/>
          <w:sz w:val="24"/>
          <w:u w:val="none"/>
        </w:rPr>
        <w:t>Mathews</w:t>
      </w:r>
      <w:r>
        <w:rPr>
          <w:rFonts w:ascii="Times New Roman" w:hAnsi="Times New Roman"/>
          <w:b w:val="0"/>
          <w:i w:val="0"/>
          <w:sz w:val="24"/>
          <w:u w:val="none"/>
        </w:rPr>
        <w:t xml:space="preserve"> balancing test weighs: (a) the private interest affected; (b) the risk of erroneous deprivation through current procedures; and (c) the government's interest. </w:t>
      </w:r>
      <w:r>
        <w:rPr>
          <w:rFonts w:ascii="Times New Roman" w:hAnsi="Times New Roman"/>
          <w:b w:val="0"/>
          <w:i/>
          <w:sz w:val="24"/>
          <w:u w:val="none"/>
        </w:rPr>
        <w:t>Id.</w:t>
      </w:r>
      <w:r>
        <w:rPr>
          <w:rFonts w:ascii="Times New Roman" w:hAnsi="Times New Roman"/>
          <w:b w:val="0"/>
          <w:i w:val="0"/>
          <w:sz w:val="24"/>
          <w:u w:val="none"/>
        </w:rPr>
        <w:t xml:space="preserve"> at 335.</w:t>
      </w:r>
    </w:p>
    <w:p>
      <w:pPr>
        <w:spacing w:after="0" w:before="0" w:line="480" w:lineRule="auto"/>
        <w:ind w:firstLine="720"/>
        <w:jc w:val="left"/>
      </w:pPr>
      <w:r>
        <w:rPr>
          <w:rFonts w:ascii="Times New Roman" w:hAnsi="Times New Roman"/>
          <w:b/>
          <w:i w:val="0"/>
          <w:sz w:val="24"/>
          <w:u w:val="none"/>
        </w:rPr>
        <w:t xml:space="preserve">41. </w:t>
      </w:r>
      <w:r>
        <w:rPr>
          <w:rFonts w:ascii="Times New Roman" w:hAnsi="Times New Roman"/>
          <w:b w:val="0"/>
          <w:i w:val="0"/>
          <w:sz w:val="24"/>
          <w:u w:val="none"/>
        </w:rPr>
        <w:t>Here:</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i w:val="0"/>
          <w:sz w:val="24"/>
          <w:u w:val="none"/>
        </w:rPr>
        <w:t>(a) Private interest:</w:t>
      </w:r>
      <w:r>
        <w:rPr>
          <w:rFonts w:ascii="Times New Roman" w:hAnsi="Times New Roman"/>
          <w:b w:val="0"/>
          <w:i w:val="0"/>
          <w:sz w:val="24"/>
          <w:u w:val="none"/>
        </w:rPr>
        <w:t xml:space="preserve"> FUNDAMENTAL — the parent-child relationship (</w:t>
      </w:r>
      <w:r>
        <w:rPr>
          <w:rFonts w:ascii="Times New Roman" w:hAnsi="Times New Roman"/>
          <w:b w:val="0"/>
          <w:i/>
          <w:sz w:val="24"/>
          <w:u w:val="none"/>
        </w:rPr>
        <w:t>Troxel</w:t>
      </w:r>
      <w:r>
        <w:rPr>
          <w:rFonts w:ascii="Times New Roman" w:hAnsi="Times New Roman"/>
          <w:b w:val="0"/>
          <w:i w:val="0"/>
          <w:sz w:val="24"/>
          <w:u w:val="none"/>
        </w:rPr>
        <w:t>, 530 U.S. at 65);</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i w:val="0"/>
          <w:sz w:val="24"/>
          <w:u w:val="none"/>
        </w:rPr>
        <w:t>(b) Risk of erroneous deprivation:</w:t>
      </w:r>
      <w:r>
        <w:rPr>
          <w:rFonts w:ascii="Times New Roman" w:hAnsi="Times New Roman"/>
          <w:b w:val="0"/>
          <w:i w:val="0"/>
          <w:sz w:val="24"/>
          <w:u w:val="none"/>
        </w:rPr>
        <w:t xml:space="preserve"> EXTREME — 24 of 55 orders (43.6%) entered without any notice to Plaintiff; 5 ex parte orders on a single day; 301 documented ex parte violations in the litigation database; court refused to view exculpatory evidence;</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i w:val="0"/>
          <w:sz w:val="24"/>
          <w:u w:val="none"/>
        </w:rPr>
        <w:t>(c) Government interest in summary adjudication:</w:t>
      </w:r>
      <w:r>
        <w:rPr>
          <w:rFonts w:ascii="Times New Roman" w:hAnsi="Times New Roman"/>
          <w:b w:val="0"/>
          <w:i w:val="0"/>
          <w:sz w:val="24"/>
          <w:u w:val="none"/>
        </w:rPr>
        <w:t xml:space="preserve"> MINIMAL — no imminent danger was shown; no emergency justified bypassing notice and hearing; the deprivation has continued for 567+ days, long past any conceivable emergency.</w:t>
      </w:r>
    </w:p>
    <w:p>
      <w:pPr>
        <w:spacing w:after="0" w:before="0" w:line="480" w:lineRule="auto"/>
        <w:ind w:firstLine="720"/>
        <w:jc w:val="left"/>
      </w:pPr>
      <w:r>
        <w:rPr>
          <w:rFonts w:ascii="Times New Roman" w:hAnsi="Times New Roman"/>
          <w:b/>
          <w:i w:val="0"/>
          <w:sz w:val="24"/>
          <w:u w:val="none"/>
        </w:rPr>
        <w:t xml:space="preserve">42. </w:t>
      </w:r>
      <w:r>
        <w:rPr>
          <w:rFonts w:ascii="Times New Roman" w:hAnsi="Times New Roman"/>
          <w:b w:val="0"/>
          <w:i w:val="0"/>
          <w:sz w:val="24"/>
          <w:u w:val="none"/>
        </w:rPr>
        <w:t>On August 8, 2025, Plaintiff was not served with the ex parte motion or order before the scheduled exchange. He had no notice, no opportunity to be heard, and no ability to contest the allegations before his parenting time was suspended. The suspension has now continued for 567+ consecutive days.</w:t>
      </w:r>
    </w:p>
    <w:p>
      <w:pPr>
        <w:spacing w:after="0" w:before="0" w:line="480" w:lineRule="auto"/>
        <w:ind w:firstLine="720"/>
        <w:jc w:val="left"/>
      </w:pPr>
      <w:r>
        <w:rPr>
          <w:rFonts w:ascii="Times New Roman" w:hAnsi="Times New Roman"/>
          <w:b/>
          <w:i w:val="0"/>
          <w:sz w:val="24"/>
          <w:u w:val="none"/>
        </w:rPr>
        <w:t xml:space="preserve">43. </w:t>
      </w:r>
      <w:r>
        <w:rPr>
          <w:rFonts w:ascii="Times New Roman" w:hAnsi="Times New Roman"/>
          <w:b w:val="0"/>
          <w:i w:val="0"/>
          <w:sz w:val="24"/>
          <w:u w:val="none"/>
        </w:rPr>
        <w:t>At multiple hearings, Plaintiff was muted, silenced, and prevented from presenting evidence — including exculpatory photographs and a USB recording. This constitutes a denial of meaningful opportunity to be heard even at post-deprivation proceedings.</w:t>
      </w:r>
    </w:p>
    <w:p>
      <w:pPr>
        <w:spacing w:after="0" w:before="0" w:line="480" w:lineRule="auto"/>
        <w:ind w:firstLine="720"/>
        <w:jc w:val="left"/>
      </w:pPr>
      <w:r>
        <w:rPr>
          <w:rFonts w:ascii="Times New Roman" w:hAnsi="Times New Roman"/>
          <w:b/>
          <w:i w:val="0"/>
          <w:sz w:val="24"/>
          <w:u w:val="none"/>
        </w:rPr>
        <w:t xml:space="preserve">44. </w:t>
      </w:r>
      <w:r>
        <w:rPr>
          <w:rFonts w:ascii="Times New Roman" w:hAnsi="Times New Roman"/>
          <w:b w:val="0"/>
          <w:i w:val="0"/>
          <w:sz w:val="24"/>
          <w:u w:val="none"/>
        </w:rPr>
        <w:t>Judge McNeill's self-ruling on her own disqualification motion (in violation of MCR 2.003(D)) deprived Plaintiff of a neutral decision-maker.</w:t>
      </w:r>
    </w:p>
    <w:p>
      <w:pPr>
        <w:spacing w:after="0" w:before="0" w:line="480" w:lineRule="auto"/>
        <w:ind w:firstLine="720"/>
        <w:jc w:val="left"/>
      </w:pPr>
      <w:r>
        <w:rPr>
          <w:rFonts w:ascii="Times New Roman" w:hAnsi="Times New Roman"/>
          <w:b/>
          <w:i w:val="0"/>
          <w:sz w:val="24"/>
          <w:u w:val="none"/>
        </w:rPr>
        <w:t xml:space="preserve">45. </w:t>
      </w:r>
      <w:r>
        <w:rPr>
          <w:rFonts w:ascii="Times New Roman" w:hAnsi="Times New Roman"/>
          <w:b w:val="0"/>
          <w:i w:val="0"/>
          <w:sz w:val="24"/>
          <w:u w:val="none"/>
        </w:rPr>
        <w:t>The systematic denial of notice and hearing before depriving Plaintiff of his fundamental liberty interest constitutes a per se violation of procedural due process.</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VI. COUNT III: DENIAL OF EQUAL PROTECTION</w:t>
      </w:r>
    </w:p>
    <w:p>
      <w:pPr>
        <w:spacing w:after="0" w:before="0" w:line="480" w:lineRule="auto"/>
        <w:jc w:val="left"/>
      </w:pPr>
      <w:r>
        <w:rPr>
          <w:rFonts w:ascii="Times New Roman" w:hAnsi="Times New Roman"/>
          <w:b/>
          <w:i w:val="0"/>
          <w:sz w:val="24"/>
          <w:u w:val="single"/>
        </w:rPr>
        <w:t>(42 U.S.C. § 1983 — Fourteenth Amendment)</w:t>
      </w:r>
    </w:p>
    <w:p>
      <w:pPr>
        <w:spacing w:after="0" w:before="0" w:line="480" w:lineRule="auto"/>
        <w:jc w:val="left"/>
      </w:pPr>
      <w:r>
        <w:rPr>
          <w:rFonts w:ascii="Times New Roman" w:hAnsi="Times New Roman"/>
          <w:b/>
          <w:i w:val="0"/>
          <w:sz w:val="24"/>
          <w:u w:val="single"/>
        </w:rPr>
        <w:t>Against All Defendants</w:t>
      </w:r>
    </w:p>
    <w:p>
      <w:pPr>
        <w:spacing w:after="0" w:before="0" w:line="480" w:lineRule="auto"/>
        <w:ind w:firstLine="720"/>
        <w:jc w:val="left"/>
      </w:pPr>
      <w:r>
        <w:rPr>
          <w:rFonts w:ascii="Times New Roman" w:hAnsi="Times New Roman"/>
          <w:b/>
          <w:i w:val="0"/>
          <w:sz w:val="24"/>
          <w:u w:val="none"/>
        </w:rPr>
        <w:t xml:space="preserve">46. </w:t>
      </w:r>
      <w:r>
        <w:rPr>
          <w:rFonts w:ascii="Times New Roman" w:hAnsi="Times New Roman"/>
          <w:b w:val="0"/>
          <w:i w:val="0"/>
          <w:sz w:val="24"/>
          <w:u w:val="none"/>
        </w:rPr>
        <w:t>Plaintiff repeats and incorporates by reference the allegations in Paragraphs 1 through 45.</w:t>
      </w:r>
    </w:p>
    <w:p>
      <w:pPr>
        <w:spacing w:after="0" w:before="0" w:line="480" w:lineRule="auto"/>
        <w:ind w:firstLine="720"/>
        <w:jc w:val="left"/>
      </w:pPr>
      <w:r>
        <w:rPr>
          <w:rFonts w:ascii="Times New Roman" w:hAnsi="Times New Roman"/>
          <w:b/>
          <w:i w:val="0"/>
          <w:sz w:val="24"/>
          <w:u w:val="none"/>
        </w:rPr>
        <w:t xml:space="preserve">47. </w:t>
      </w:r>
      <w:r>
        <w:rPr>
          <w:rFonts w:ascii="Times New Roman" w:hAnsi="Times New Roman"/>
          <w:b w:val="0"/>
          <w:i w:val="0"/>
          <w:sz w:val="24"/>
          <w:u w:val="none"/>
        </w:rPr>
        <w:t xml:space="preserve">The Equal Protection Clause of the Fourteenth Amendment prohibits the government from denying any person "the equal protection of the laws." Even under rational basis review, government action must bear a rational relationship to a legitimate government interest. If sex-based classification applies, intermediate scrutiny applies. </w:t>
      </w:r>
      <w:r>
        <w:rPr>
          <w:rFonts w:ascii="Times New Roman" w:hAnsi="Times New Roman"/>
          <w:b w:val="0"/>
          <w:i/>
          <w:sz w:val="24"/>
          <w:u w:val="none"/>
        </w:rPr>
        <w:t>Craig v. Boren</w:t>
      </w:r>
      <w:r>
        <w:rPr>
          <w:rFonts w:ascii="Times New Roman" w:hAnsi="Times New Roman"/>
          <w:b w:val="0"/>
          <w:i w:val="0"/>
          <w:sz w:val="24"/>
          <w:u w:val="none"/>
        </w:rPr>
        <w:t>, 429 U.S. 190 (1976).</w:t>
      </w:r>
    </w:p>
    <w:p>
      <w:pPr>
        <w:spacing w:after="0" w:before="0" w:line="480" w:lineRule="auto"/>
        <w:ind w:firstLine="720"/>
        <w:jc w:val="left"/>
      </w:pPr>
      <w:r>
        <w:rPr>
          <w:rFonts w:ascii="Times New Roman" w:hAnsi="Times New Roman"/>
          <w:b/>
          <w:i w:val="0"/>
          <w:sz w:val="24"/>
          <w:u w:val="none"/>
        </w:rPr>
        <w:t xml:space="preserve">48. </w:t>
      </w:r>
      <w:r>
        <w:rPr>
          <w:rFonts w:ascii="Times New Roman" w:hAnsi="Times New Roman"/>
          <w:b w:val="0"/>
          <w:i w:val="0"/>
          <w:sz w:val="24"/>
          <w:u w:val="none"/>
        </w:rPr>
        <w:t>Judge McNeill's treatment of Plaintiff versus Watson demonstrates systematic disparate treatment:</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i w:val="0"/>
                <w:sz w:val="20"/>
                <w:u w:val="none"/>
              </w:rPr>
              <w:t>Category</w:t>
            </w:r>
          </w:p>
        </w:tc>
        <w:tc>
          <w:tcPr>
            <w:tcW w:type="dxa" w:w="3120"/>
          </w:tcPr>
          <w:p>
            <w:pPr>
              <w:spacing w:line="240" w:lineRule="auto"/>
            </w:pPr>
            <w:r/>
            <w:r>
              <w:rPr>
                <w:rFonts w:ascii="Times New Roman" w:hAnsi="Times New Roman"/>
                <w:b/>
                <w:i w:val="0"/>
                <w:sz w:val="20"/>
                <w:u w:val="none"/>
              </w:rPr>
              <w:t>Father (Plaintiff)</w:t>
            </w:r>
          </w:p>
        </w:tc>
        <w:tc>
          <w:tcPr>
            <w:tcW w:type="dxa" w:w="3120"/>
          </w:tcPr>
          <w:p>
            <w:pPr>
              <w:spacing w:line="240" w:lineRule="auto"/>
            </w:pPr>
            <w:r/>
            <w:r>
              <w:rPr>
                <w:rFonts w:ascii="Times New Roman" w:hAnsi="Times New Roman"/>
                <w:b/>
                <w:i w:val="0"/>
                <w:sz w:val="20"/>
                <w:u w:val="none"/>
              </w:rPr>
              <w:t>Mother (Watson)</w:t>
            </w:r>
          </w:p>
        </w:tc>
      </w:tr>
      <w:tr>
        <w:tc>
          <w:tcPr>
            <w:tcW w:type="dxa" w:w="3120"/>
          </w:tcPr>
          <w:p>
            <w:pPr>
              <w:spacing w:line="240" w:lineRule="auto"/>
            </w:pPr>
            <w:r/>
            <w:r>
              <w:rPr>
                <w:rFonts w:ascii="Times New Roman" w:hAnsi="Times New Roman"/>
                <w:b w:val="0"/>
                <w:i w:val="0"/>
                <w:sz w:val="20"/>
                <w:u w:val="none"/>
              </w:rPr>
              <w:t>Ex parte orders</w:t>
            </w:r>
          </w:p>
        </w:tc>
        <w:tc>
          <w:tcPr>
            <w:tcW w:type="dxa" w:w="3120"/>
          </w:tcPr>
          <w:p>
            <w:pPr>
              <w:spacing w:line="240" w:lineRule="auto"/>
            </w:pPr>
            <w:r/>
            <w:r>
              <w:rPr>
                <w:rFonts w:ascii="Times New Roman" w:hAnsi="Times New Roman"/>
                <w:b w:val="0"/>
                <w:i w:val="0"/>
                <w:sz w:val="20"/>
                <w:u w:val="none"/>
              </w:rPr>
              <w:t>24/55 orders entered against Father ex parte</w:t>
            </w:r>
          </w:p>
        </w:tc>
        <w:tc>
          <w:tcPr>
            <w:tcW w:type="dxa" w:w="3120"/>
          </w:tcPr>
          <w:p>
            <w:pPr>
              <w:spacing w:line="240" w:lineRule="auto"/>
            </w:pPr>
            <w:r/>
            <w:r>
              <w:rPr>
                <w:rFonts w:ascii="Times New Roman" w:hAnsi="Times New Roman"/>
                <w:b w:val="0"/>
                <w:i w:val="0"/>
                <w:sz w:val="20"/>
                <w:u w:val="none"/>
              </w:rPr>
              <w:t>Zero sanctions for false ex parte filings</w:t>
            </w:r>
          </w:p>
        </w:tc>
      </w:tr>
      <w:tr>
        <w:tc>
          <w:tcPr>
            <w:tcW w:type="dxa" w:w="3120"/>
          </w:tcPr>
          <w:p>
            <w:pPr>
              <w:spacing w:line="240" w:lineRule="auto"/>
            </w:pPr>
            <w:r/>
            <w:r>
              <w:rPr>
                <w:rFonts w:ascii="Times New Roman" w:hAnsi="Times New Roman"/>
                <w:b w:val="0"/>
                <w:i w:val="0"/>
                <w:sz w:val="20"/>
                <w:u w:val="none"/>
              </w:rPr>
              <w:t>Evidence consideration</w:t>
            </w:r>
          </w:p>
        </w:tc>
        <w:tc>
          <w:tcPr>
            <w:tcW w:type="dxa" w:w="3120"/>
          </w:tcPr>
          <w:p>
            <w:pPr>
              <w:spacing w:line="240" w:lineRule="auto"/>
            </w:pPr>
            <w:r/>
            <w:r>
              <w:rPr>
                <w:rFonts w:ascii="Times New Roman" w:hAnsi="Times New Roman"/>
                <w:b w:val="0"/>
                <w:i w:val="0"/>
                <w:sz w:val="20"/>
                <w:u w:val="none"/>
              </w:rPr>
              <w:t>Court refused to view exculpatory evidence</w:t>
            </w:r>
          </w:p>
        </w:tc>
        <w:tc>
          <w:tcPr>
            <w:tcW w:type="dxa" w:w="3120"/>
          </w:tcPr>
          <w:p>
            <w:pPr>
              <w:spacing w:line="240" w:lineRule="auto"/>
            </w:pPr>
            <w:r/>
            <w:r>
              <w:rPr>
                <w:rFonts w:ascii="Times New Roman" w:hAnsi="Times New Roman"/>
                <w:b w:val="0"/>
                <w:i w:val="0"/>
                <w:sz w:val="20"/>
                <w:u w:val="none"/>
              </w:rPr>
              <w:t>Court accepted unsworn, unverified allegations</w:t>
            </w:r>
          </w:p>
        </w:tc>
      </w:tr>
      <w:tr>
        <w:tc>
          <w:tcPr>
            <w:tcW w:type="dxa" w:w="3120"/>
          </w:tcPr>
          <w:p>
            <w:pPr>
              <w:spacing w:line="240" w:lineRule="auto"/>
            </w:pPr>
            <w:r/>
            <w:r>
              <w:rPr>
                <w:rFonts w:ascii="Times New Roman" w:hAnsi="Times New Roman"/>
                <w:b w:val="0"/>
                <w:i w:val="0"/>
                <w:sz w:val="20"/>
                <w:u w:val="none"/>
              </w:rPr>
              <w:t>Filing rights</w:t>
            </w:r>
          </w:p>
        </w:tc>
        <w:tc>
          <w:tcPr>
            <w:tcW w:type="dxa" w:w="3120"/>
          </w:tcPr>
          <w:p>
            <w:pPr>
              <w:spacing w:line="240" w:lineRule="auto"/>
            </w:pPr>
            <w:r/>
            <w:r>
              <w:rPr>
                <w:rFonts w:ascii="Times New Roman" w:hAnsi="Times New Roman"/>
                <w:b w:val="0"/>
                <w:i w:val="0"/>
                <w:sz w:val="20"/>
                <w:u w:val="none"/>
              </w:rPr>
              <w:t>$250 bond imposed on new filings</w:t>
            </w:r>
          </w:p>
        </w:tc>
        <w:tc>
          <w:tcPr>
            <w:tcW w:type="dxa" w:w="3120"/>
          </w:tcPr>
          <w:p>
            <w:pPr>
              <w:spacing w:line="240" w:lineRule="auto"/>
            </w:pPr>
            <w:r/>
            <w:r>
              <w:rPr>
                <w:rFonts w:ascii="Times New Roman" w:hAnsi="Times New Roman"/>
                <w:b w:val="0"/>
                <w:i w:val="0"/>
                <w:sz w:val="20"/>
                <w:u w:val="none"/>
              </w:rPr>
              <w:t>No restrictions on Watson's filings</w:t>
            </w:r>
          </w:p>
        </w:tc>
      </w:tr>
      <w:tr>
        <w:tc>
          <w:tcPr>
            <w:tcW w:type="dxa" w:w="3120"/>
          </w:tcPr>
          <w:p>
            <w:pPr>
              <w:spacing w:line="240" w:lineRule="auto"/>
            </w:pPr>
            <w:r/>
            <w:r>
              <w:rPr>
                <w:rFonts w:ascii="Times New Roman" w:hAnsi="Times New Roman"/>
                <w:b w:val="0"/>
                <w:i w:val="0"/>
                <w:sz w:val="20"/>
                <w:u w:val="none"/>
              </w:rPr>
              <w:t>Hearing access</w:t>
            </w:r>
          </w:p>
        </w:tc>
        <w:tc>
          <w:tcPr>
            <w:tcW w:type="dxa" w:w="3120"/>
          </w:tcPr>
          <w:p>
            <w:pPr>
              <w:spacing w:line="240" w:lineRule="auto"/>
            </w:pPr>
            <w:r/>
            <w:r>
              <w:rPr>
                <w:rFonts w:ascii="Times New Roman" w:hAnsi="Times New Roman"/>
                <w:b w:val="0"/>
                <w:i w:val="0"/>
                <w:sz w:val="20"/>
                <w:u w:val="none"/>
              </w:rPr>
              <w:t>Muted/silenced at hearings</w:t>
            </w:r>
          </w:p>
        </w:tc>
        <w:tc>
          <w:tcPr>
            <w:tcW w:type="dxa" w:w="3120"/>
          </w:tcPr>
          <w:p>
            <w:pPr>
              <w:spacing w:line="240" w:lineRule="auto"/>
            </w:pPr>
            <w:r/>
            <w:r>
              <w:rPr>
                <w:rFonts w:ascii="Times New Roman" w:hAnsi="Times New Roman"/>
                <w:b w:val="0"/>
                <w:i w:val="0"/>
                <w:sz w:val="20"/>
                <w:u w:val="none"/>
              </w:rPr>
              <w:t>Full opportunity to be heard</w:t>
            </w:r>
          </w:p>
        </w:tc>
      </w:tr>
      <w:tr>
        <w:tc>
          <w:tcPr>
            <w:tcW w:type="dxa" w:w="3120"/>
          </w:tcPr>
          <w:p>
            <w:pPr>
              <w:spacing w:line="240" w:lineRule="auto"/>
            </w:pPr>
            <w:r/>
            <w:r>
              <w:rPr>
                <w:rFonts w:ascii="Times New Roman" w:hAnsi="Times New Roman"/>
                <w:b w:val="0"/>
                <w:i w:val="0"/>
                <w:sz w:val="20"/>
                <w:u w:val="none"/>
              </w:rPr>
              <w:t>Contempt</w:t>
            </w:r>
          </w:p>
        </w:tc>
        <w:tc>
          <w:tcPr>
            <w:tcW w:type="dxa" w:w="3120"/>
          </w:tcPr>
          <w:p>
            <w:pPr>
              <w:spacing w:line="240" w:lineRule="auto"/>
            </w:pPr>
            <w:r/>
            <w:r>
              <w:rPr>
                <w:rFonts w:ascii="Times New Roman" w:hAnsi="Times New Roman"/>
                <w:b w:val="0"/>
                <w:i w:val="0"/>
                <w:sz w:val="20"/>
                <w:u w:val="none"/>
              </w:rPr>
              <w:t>Contempt findings entered</w:t>
            </w:r>
          </w:p>
        </w:tc>
        <w:tc>
          <w:tcPr>
            <w:tcW w:type="dxa" w:w="3120"/>
          </w:tcPr>
          <w:p>
            <w:pPr>
              <w:spacing w:line="240" w:lineRule="auto"/>
            </w:pPr>
            <w:r/>
            <w:r>
              <w:rPr>
                <w:rFonts w:ascii="Times New Roman" w:hAnsi="Times New Roman"/>
                <w:b w:val="0"/>
                <w:i w:val="0"/>
                <w:sz w:val="20"/>
                <w:u w:val="none"/>
              </w:rPr>
              <w:t>Zero contempt findings despite violations</w:t>
            </w:r>
          </w:p>
        </w:tc>
      </w:tr>
      <w:tr>
        <w:tc>
          <w:tcPr>
            <w:tcW w:type="dxa" w:w="3120"/>
          </w:tcPr>
          <w:p>
            <w:pPr>
              <w:spacing w:line="240" w:lineRule="auto"/>
            </w:pPr>
            <w:r/>
            <w:r>
              <w:rPr>
                <w:rFonts w:ascii="Times New Roman" w:hAnsi="Times New Roman"/>
                <w:b w:val="0"/>
                <w:i w:val="0"/>
                <w:sz w:val="20"/>
                <w:u w:val="none"/>
              </w:rPr>
              <w:t>Sanctions</w:t>
            </w:r>
          </w:p>
        </w:tc>
        <w:tc>
          <w:tcPr>
            <w:tcW w:type="dxa" w:w="3120"/>
          </w:tcPr>
          <w:p>
            <w:pPr>
              <w:spacing w:line="240" w:lineRule="auto"/>
            </w:pPr>
            <w:r/>
            <w:r>
              <w:rPr>
                <w:rFonts w:ascii="Times New Roman" w:hAnsi="Times New Roman"/>
                <w:b w:val="0"/>
                <w:i w:val="0"/>
                <w:sz w:val="20"/>
                <w:u w:val="none"/>
              </w:rPr>
              <w:t>Multiple sanctions imposed</w:t>
            </w:r>
          </w:p>
        </w:tc>
        <w:tc>
          <w:tcPr>
            <w:tcW w:type="dxa" w:w="3120"/>
          </w:tcPr>
          <w:p>
            <w:pPr>
              <w:spacing w:line="240" w:lineRule="auto"/>
            </w:pPr>
            <w:r/>
            <w:r>
              <w:rPr>
                <w:rFonts w:ascii="Times New Roman" w:hAnsi="Times New Roman"/>
                <w:b w:val="0"/>
                <w:i w:val="0"/>
                <w:sz w:val="20"/>
                <w:u w:val="none"/>
              </w:rPr>
              <w:t>Zero sanctions</w:t>
            </w:r>
          </w:p>
        </w:tc>
      </w:tr>
    </w:tbl>
    <w:p/>
    <w:p>
      <w:pPr>
        <w:spacing w:after="0" w:before="0" w:line="480" w:lineRule="auto"/>
        <w:ind w:firstLine="720"/>
        <w:jc w:val="left"/>
      </w:pPr>
      <w:r>
        <w:rPr>
          <w:rFonts w:ascii="Times New Roman" w:hAnsi="Times New Roman"/>
          <w:b/>
          <w:i w:val="0"/>
          <w:sz w:val="24"/>
          <w:u w:val="none"/>
        </w:rPr>
        <w:t xml:space="preserve">49. </w:t>
      </w:r>
      <w:r>
        <w:rPr>
          <w:rFonts w:ascii="Times New Roman" w:hAnsi="Times New Roman"/>
          <w:b w:val="0"/>
          <w:i w:val="0"/>
          <w:sz w:val="24"/>
          <w:u w:val="none"/>
        </w:rPr>
        <w:t>This one-directional pattern of adverse treatment — 100% of ex parte orders entered against Father, 0% of sanctions imposed on Mother — cannot be explained by any legitimate government interest and is indicative of impermissible bias.</w:t>
      </w:r>
    </w:p>
    <w:p>
      <w:pPr>
        <w:spacing w:after="0" w:before="0" w:line="480" w:lineRule="auto"/>
        <w:ind w:firstLine="720"/>
        <w:jc w:val="left"/>
      </w:pPr>
      <w:r>
        <w:rPr>
          <w:rFonts w:ascii="Times New Roman" w:hAnsi="Times New Roman"/>
          <w:b/>
          <w:i w:val="0"/>
          <w:sz w:val="24"/>
          <w:u w:val="none"/>
        </w:rPr>
        <w:t xml:space="preserve">50. </w:t>
      </w:r>
      <w:r>
        <w:rPr>
          <w:rFonts w:ascii="Times New Roman" w:hAnsi="Times New Roman"/>
          <w:b w:val="0"/>
          <w:i w:val="0"/>
          <w:sz w:val="24"/>
          <w:u w:val="none"/>
        </w:rPr>
        <w:t>Plaintiff has suffered concrete injury as a result of this disparate treatment, including loss of parenting time, financial penalties, and deprivation of his fundamental rights.</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VII. COUNT IV: DENIAL OF RIGHT TO PETITION / ACCESS TO COURTS</w:t>
      </w:r>
    </w:p>
    <w:p>
      <w:pPr>
        <w:spacing w:after="0" w:before="0" w:line="480" w:lineRule="auto"/>
        <w:jc w:val="left"/>
      </w:pPr>
      <w:r>
        <w:rPr>
          <w:rFonts w:ascii="Times New Roman" w:hAnsi="Times New Roman"/>
          <w:b/>
          <w:i w:val="0"/>
          <w:sz w:val="24"/>
          <w:u w:val="single"/>
        </w:rPr>
        <w:t>(42 U.S.C. § 1983 — First Amendment, Incorporated via Fourteenth Amendment)</w:t>
      </w:r>
    </w:p>
    <w:p>
      <w:pPr>
        <w:spacing w:after="0" w:before="0" w:line="480" w:lineRule="auto"/>
        <w:jc w:val="left"/>
      </w:pPr>
      <w:r>
        <w:rPr>
          <w:rFonts w:ascii="Times New Roman" w:hAnsi="Times New Roman"/>
          <w:b/>
          <w:i w:val="0"/>
          <w:sz w:val="24"/>
          <w:u w:val="single"/>
        </w:rPr>
        <w:t>Against Defendant McNeill</w:t>
      </w:r>
    </w:p>
    <w:p>
      <w:pPr>
        <w:spacing w:after="0" w:before="0" w:line="480" w:lineRule="auto"/>
        <w:ind w:firstLine="720"/>
        <w:jc w:val="left"/>
      </w:pPr>
      <w:r>
        <w:rPr>
          <w:rFonts w:ascii="Times New Roman" w:hAnsi="Times New Roman"/>
          <w:b/>
          <w:i w:val="0"/>
          <w:sz w:val="24"/>
          <w:u w:val="none"/>
        </w:rPr>
        <w:t xml:space="preserve">51. </w:t>
      </w:r>
      <w:r>
        <w:rPr>
          <w:rFonts w:ascii="Times New Roman" w:hAnsi="Times New Roman"/>
          <w:b w:val="0"/>
          <w:i w:val="0"/>
          <w:sz w:val="24"/>
          <w:u w:val="none"/>
        </w:rPr>
        <w:t>Plaintiff repeats and incorporates by reference the allegations in Paragraphs 1 through 50.</w:t>
      </w:r>
    </w:p>
    <w:p>
      <w:pPr>
        <w:spacing w:after="0" w:before="0" w:line="480" w:lineRule="auto"/>
        <w:ind w:firstLine="720"/>
        <w:jc w:val="left"/>
      </w:pPr>
      <w:r>
        <w:rPr>
          <w:rFonts w:ascii="Times New Roman" w:hAnsi="Times New Roman"/>
          <w:b/>
          <w:i w:val="0"/>
          <w:sz w:val="24"/>
          <w:u w:val="none"/>
        </w:rPr>
        <w:t xml:space="preserve">52. </w:t>
      </w:r>
      <w:r>
        <w:rPr>
          <w:rFonts w:ascii="Times New Roman" w:hAnsi="Times New Roman"/>
          <w:b w:val="0"/>
          <w:i w:val="0"/>
          <w:sz w:val="24"/>
          <w:u w:val="none"/>
        </w:rPr>
        <w:t>The First Amendment guarantees "the right of the people . . . to petition the Government for a redress of grievances." This right is incorporated against the states through the Fourteenth Amendment.</w:t>
      </w:r>
    </w:p>
    <w:p>
      <w:pPr>
        <w:spacing w:after="0" w:before="0" w:line="480" w:lineRule="auto"/>
        <w:ind w:firstLine="720"/>
        <w:jc w:val="left"/>
      </w:pPr>
      <w:r>
        <w:rPr>
          <w:rFonts w:ascii="Times New Roman" w:hAnsi="Times New Roman"/>
          <w:b/>
          <w:i w:val="0"/>
          <w:sz w:val="24"/>
          <w:u w:val="none"/>
        </w:rPr>
        <w:t xml:space="preserve">53. </w:t>
      </w:r>
      <w:r>
        <w:rPr>
          <w:rFonts w:ascii="Times New Roman" w:hAnsi="Times New Roman"/>
          <w:b w:val="0"/>
          <w:i w:val="0"/>
          <w:sz w:val="24"/>
          <w:u w:val="none"/>
        </w:rPr>
        <w:t xml:space="preserve">The Supreme Court has held that States cannot deny access to courts based on inability to pay when fundamental rights are at stake. </w:t>
      </w:r>
      <w:r>
        <w:rPr>
          <w:rFonts w:ascii="Times New Roman" w:hAnsi="Times New Roman"/>
          <w:b w:val="0"/>
          <w:i/>
          <w:sz w:val="24"/>
          <w:u w:val="none"/>
        </w:rPr>
        <w:t>Boddie v. Connecticut</w:t>
      </w:r>
      <w:r>
        <w:rPr>
          <w:rFonts w:ascii="Times New Roman" w:hAnsi="Times New Roman"/>
          <w:b w:val="0"/>
          <w:i w:val="0"/>
          <w:sz w:val="24"/>
          <w:u w:val="none"/>
        </w:rPr>
        <w:t xml:space="preserve">, 401 U.S. 371, 383 (1971). Meaningful access to courts is a constitutional right. </w:t>
      </w:r>
      <w:r>
        <w:rPr>
          <w:rFonts w:ascii="Times New Roman" w:hAnsi="Times New Roman"/>
          <w:b w:val="0"/>
          <w:i/>
          <w:sz w:val="24"/>
          <w:u w:val="none"/>
        </w:rPr>
        <w:t>Bounds v. Smith</w:t>
      </w:r>
      <w:r>
        <w:rPr>
          <w:rFonts w:ascii="Times New Roman" w:hAnsi="Times New Roman"/>
          <w:b w:val="0"/>
          <w:i w:val="0"/>
          <w:sz w:val="24"/>
          <w:u w:val="none"/>
        </w:rPr>
        <w:t>, 430 U.S. 817 (1977).</w:t>
      </w:r>
    </w:p>
    <w:p>
      <w:pPr>
        <w:spacing w:after="0" w:before="0" w:line="480" w:lineRule="auto"/>
        <w:ind w:firstLine="720"/>
        <w:jc w:val="left"/>
      </w:pPr>
      <w:r>
        <w:rPr>
          <w:rFonts w:ascii="Times New Roman" w:hAnsi="Times New Roman"/>
          <w:b/>
          <w:i w:val="0"/>
          <w:sz w:val="24"/>
          <w:u w:val="none"/>
        </w:rPr>
        <w:t xml:space="preserve">54. </w:t>
      </w:r>
      <w:r>
        <w:rPr>
          <w:rFonts w:ascii="Times New Roman" w:hAnsi="Times New Roman"/>
          <w:b w:val="0"/>
          <w:i w:val="0"/>
          <w:sz w:val="24"/>
          <w:u w:val="none"/>
        </w:rPr>
        <w:t xml:space="preserve">Judge McNeill's imposition of a </w:t>
      </w:r>
      <w:r>
        <w:rPr>
          <w:rFonts w:ascii="Times New Roman" w:hAnsi="Times New Roman"/>
          <w:b/>
          <w:i w:val="0"/>
          <w:sz w:val="24"/>
          <w:u w:val="none"/>
        </w:rPr>
        <w:t>$250 bond on each new motion</w:t>
      </w:r>
      <w:r>
        <w:rPr>
          <w:rFonts w:ascii="Times New Roman" w:hAnsi="Times New Roman"/>
          <w:b w:val="0"/>
          <w:i w:val="0"/>
          <w:sz w:val="24"/>
          <w:u w:val="none"/>
        </w:rPr>
        <w:t xml:space="preserve"> functions as an unconstitutional financial barrier to Plaintiff's exercise of his right to petition the courts for restoration of his fundamental parental rights. The bond was imposed in direct retaliation for Plaintiff's exercise of his right to file motions challenging the court's ex parte orders.</w:t>
      </w:r>
    </w:p>
    <w:p>
      <w:pPr>
        <w:spacing w:after="0" w:before="0" w:line="480" w:lineRule="auto"/>
        <w:ind w:firstLine="720"/>
        <w:jc w:val="left"/>
      </w:pPr>
      <w:r>
        <w:rPr>
          <w:rFonts w:ascii="Times New Roman" w:hAnsi="Times New Roman"/>
          <w:b/>
          <w:i w:val="0"/>
          <w:sz w:val="24"/>
          <w:u w:val="none"/>
        </w:rPr>
        <w:t xml:space="preserve">55. </w:t>
      </w:r>
      <w:r>
        <w:rPr>
          <w:rFonts w:ascii="Times New Roman" w:hAnsi="Times New Roman"/>
          <w:b w:val="0"/>
          <w:i w:val="0"/>
          <w:sz w:val="24"/>
          <w:u w:val="none"/>
        </w:rPr>
        <w:t xml:space="preserve">The retaliatory timing of the bond — imposed immediately after Plaintiff filed motions challenging the ex parte orders — suggests an impermissible retaliatory motive that independently violates the First Amendment. </w:t>
      </w:r>
      <w:r>
        <w:rPr>
          <w:rFonts w:ascii="Times New Roman" w:hAnsi="Times New Roman"/>
          <w:b w:val="0"/>
          <w:i/>
          <w:sz w:val="24"/>
          <w:u w:val="none"/>
        </w:rPr>
        <w:t>See Crawford-El v. Britton</w:t>
      </w:r>
      <w:r>
        <w:rPr>
          <w:rFonts w:ascii="Times New Roman" w:hAnsi="Times New Roman"/>
          <w:b w:val="0"/>
          <w:i w:val="0"/>
          <w:sz w:val="24"/>
          <w:u w:val="none"/>
        </w:rPr>
        <w:t>, 523 U.S. 574 (1998).</w:t>
      </w:r>
    </w:p>
    <w:p>
      <w:pPr>
        <w:spacing w:after="0" w:before="0" w:line="480" w:lineRule="auto"/>
        <w:ind w:firstLine="720"/>
        <w:jc w:val="left"/>
      </w:pPr>
      <w:r>
        <w:rPr>
          <w:rFonts w:ascii="Times New Roman" w:hAnsi="Times New Roman"/>
          <w:b/>
          <w:i w:val="0"/>
          <w:sz w:val="24"/>
          <w:u w:val="none"/>
        </w:rPr>
        <w:t xml:space="preserve">56. </w:t>
      </w:r>
      <w:r>
        <w:rPr>
          <w:rFonts w:ascii="Times New Roman" w:hAnsi="Times New Roman"/>
          <w:b w:val="0"/>
          <w:i w:val="0"/>
          <w:sz w:val="24"/>
          <w:u w:val="none"/>
        </w:rPr>
        <w:t xml:space="preserve">Combined with the ex parte suspension of all parenting time, the $250 bond creates a </w:t>
      </w:r>
      <w:r>
        <w:rPr>
          <w:rFonts w:ascii="Times New Roman" w:hAnsi="Times New Roman"/>
          <w:b/>
          <w:i w:val="0"/>
          <w:sz w:val="24"/>
          <w:u w:val="none"/>
        </w:rPr>
        <w:t>complete denial of access</w:t>
      </w:r>
      <w:r>
        <w:rPr>
          <w:rFonts w:ascii="Times New Roman" w:hAnsi="Times New Roman"/>
          <w:b w:val="0"/>
          <w:i w:val="0"/>
          <w:sz w:val="24"/>
          <w:u w:val="none"/>
        </w:rPr>
        <w:t xml:space="preserve"> — Plaintiff cannot file motions to restore his parental rights because he cannot afford the bond, and his parenting time remains suspended with no mechanism for challenge.</w:t>
      </w:r>
    </w:p>
    <w:p>
      <w:pPr>
        <w:spacing w:after="0" w:before="0" w:line="480" w:lineRule="auto"/>
        <w:ind w:firstLine="720"/>
        <w:jc w:val="left"/>
      </w:pPr>
      <w:r>
        <w:rPr>
          <w:rFonts w:ascii="Times New Roman" w:hAnsi="Times New Roman"/>
          <w:b/>
          <w:i w:val="0"/>
          <w:sz w:val="24"/>
          <w:u w:val="none"/>
        </w:rPr>
        <w:t xml:space="preserve">57. </w:t>
      </w:r>
      <w:r>
        <w:rPr>
          <w:rFonts w:ascii="Times New Roman" w:hAnsi="Times New Roman"/>
          <w:b w:val="0"/>
          <w:i w:val="0"/>
          <w:sz w:val="24"/>
          <w:u w:val="none"/>
        </w:rPr>
        <w:t>Plaintiff has suffered actual injury: he has been unable to file motions to restore parenting time, challenge the ex parte orders, or otherwise access the 14th Circuit Court to protect his fundamental liberty interest.</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VIII. COUNT V: CONSPIRACY TO DEPRIVE CIVIL RIGHTS</w:t>
      </w:r>
    </w:p>
    <w:p>
      <w:pPr>
        <w:spacing w:after="0" w:before="0" w:line="480" w:lineRule="auto"/>
        <w:jc w:val="left"/>
      </w:pPr>
      <w:r>
        <w:rPr>
          <w:rFonts w:ascii="Times New Roman" w:hAnsi="Times New Roman"/>
          <w:b/>
          <w:i w:val="0"/>
          <w:sz w:val="24"/>
          <w:u w:val="single"/>
        </w:rPr>
        <w:t>(42 U.S.C. § 1985(3))</w:t>
      </w:r>
    </w:p>
    <w:p>
      <w:pPr>
        <w:spacing w:after="0" w:before="0" w:line="480" w:lineRule="auto"/>
        <w:jc w:val="left"/>
      </w:pPr>
      <w:r>
        <w:rPr>
          <w:rFonts w:ascii="Times New Roman" w:hAnsi="Times New Roman"/>
          <w:b/>
          <w:i w:val="0"/>
          <w:sz w:val="24"/>
          <w:u w:val="single"/>
        </w:rPr>
        <w:t>Against All Defendants</w:t>
      </w:r>
    </w:p>
    <w:p>
      <w:pPr>
        <w:spacing w:after="0" w:before="0" w:line="480" w:lineRule="auto"/>
        <w:ind w:firstLine="720"/>
        <w:jc w:val="left"/>
      </w:pPr>
      <w:r>
        <w:rPr>
          <w:rFonts w:ascii="Times New Roman" w:hAnsi="Times New Roman"/>
          <w:b/>
          <w:i w:val="0"/>
          <w:sz w:val="24"/>
          <w:u w:val="none"/>
        </w:rPr>
        <w:t xml:space="preserve">58. </w:t>
      </w:r>
      <w:r>
        <w:rPr>
          <w:rFonts w:ascii="Times New Roman" w:hAnsi="Times New Roman"/>
          <w:b w:val="0"/>
          <w:i w:val="0"/>
          <w:sz w:val="24"/>
          <w:u w:val="none"/>
        </w:rPr>
        <w:t>Plaintiff repeats and incorporates by reference the allegations in Paragraphs 1 through 57.</w:t>
      </w:r>
    </w:p>
    <w:p>
      <w:pPr>
        <w:spacing w:after="0" w:before="0" w:line="480" w:lineRule="auto"/>
        <w:ind w:firstLine="720"/>
        <w:jc w:val="left"/>
      </w:pPr>
      <w:r>
        <w:rPr>
          <w:rFonts w:ascii="Times New Roman" w:hAnsi="Times New Roman"/>
          <w:b/>
          <w:i w:val="0"/>
          <w:sz w:val="24"/>
          <w:u w:val="none"/>
        </w:rPr>
        <w:t xml:space="preserve">59. </w:t>
      </w:r>
      <w:r>
        <w:rPr>
          <w:rFonts w:ascii="Times New Roman" w:hAnsi="Times New Roman"/>
          <w:b w:val="0"/>
          <w:i w:val="0"/>
          <w:sz w:val="24"/>
          <w:u w:val="none"/>
        </w:rPr>
        <w:t xml:space="preserve">42 U.S.C. § 1985(3) creates a cause of action when two or more persons conspire to deprive any person of the equal protection of the laws or of equal privileges and immunities under the laws. </w:t>
      </w:r>
      <w:r>
        <w:rPr>
          <w:rFonts w:ascii="Times New Roman" w:hAnsi="Times New Roman"/>
          <w:b w:val="0"/>
          <w:i/>
          <w:sz w:val="24"/>
          <w:u w:val="none"/>
        </w:rPr>
        <w:t>Griffin v. Breckenridge</w:t>
      </w:r>
      <w:r>
        <w:rPr>
          <w:rFonts w:ascii="Times New Roman" w:hAnsi="Times New Roman"/>
          <w:b w:val="0"/>
          <w:i w:val="0"/>
          <w:sz w:val="24"/>
          <w:u w:val="none"/>
        </w:rPr>
        <w:t>, 403 U.S. 88, 102-03 (1971).</w:t>
      </w:r>
    </w:p>
    <w:p>
      <w:pPr>
        <w:spacing w:after="0" w:before="0" w:line="480" w:lineRule="auto"/>
        <w:ind w:firstLine="720"/>
        <w:jc w:val="left"/>
      </w:pPr>
      <w:r>
        <w:rPr>
          <w:rFonts w:ascii="Times New Roman" w:hAnsi="Times New Roman"/>
          <w:b/>
          <w:i w:val="0"/>
          <w:sz w:val="24"/>
          <w:u w:val="none"/>
        </w:rPr>
        <w:t xml:space="preserve">60. </w:t>
      </w:r>
      <w:r>
        <w:rPr>
          <w:rFonts w:ascii="Times New Roman" w:hAnsi="Times New Roman"/>
          <w:b w:val="0"/>
          <w:i w:val="0"/>
          <w:sz w:val="24"/>
          <w:u w:val="none"/>
        </w:rPr>
        <w:t xml:space="preserve">The elements of a § 1985(3) claim are: (1) a conspiracy; (2) for the purpose of depriving a person of equal protection or equal privileges; (3) an act in furtherance of the conspiracy; and (4) resulting injury or deprivation of rights. </w:t>
      </w:r>
      <w:r>
        <w:rPr>
          <w:rFonts w:ascii="Times New Roman" w:hAnsi="Times New Roman"/>
          <w:b w:val="0"/>
          <w:i/>
          <w:sz w:val="24"/>
          <w:u w:val="none"/>
        </w:rPr>
        <w:t>Id.</w:t>
      </w:r>
    </w:p>
    <w:p>
      <w:pPr>
        <w:spacing w:after="0" w:before="0" w:line="480" w:lineRule="auto"/>
        <w:ind w:firstLine="720"/>
        <w:jc w:val="left"/>
      </w:pPr>
      <w:r>
        <w:rPr>
          <w:rFonts w:ascii="Times New Roman" w:hAnsi="Times New Roman"/>
          <w:b/>
          <w:i w:val="0"/>
          <w:sz w:val="24"/>
          <w:u w:val="none"/>
        </w:rPr>
        <w:t xml:space="preserve">61. </w:t>
      </w:r>
      <w:r>
        <w:rPr>
          <w:rFonts w:ascii="Times New Roman" w:hAnsi="Times New Roman"/>
          <w:b/>
          <w:i w:val="0"/>
          <w:sz w:val="24"/>
          <w:u w:val="none"/>
        </w:rPr>
        <w:t>Element 1 — Conspiracy (Agreement):</w:t>
      </w:r>
      <w:r>
        <w:rPr>
          <w:rFonts w:ascii="Times New Roman" w:hAnsi="Times New Roman"/>
          <w:b w:val="0"/>
          <w:i w:val="0"/>
          <w:sz w:val="24"/>
          <w:u w:val="none"/>
        </w:rPr>
        <w:t xml:space="preserve"> The temporal coordination pattern — Watson files, McNeill rules the same day without notice to Plaintiff, Berry files within 48 hours — repeated across months, establishes an implied agreement through circumstantial evidence. Circumstantial evidence is sufficient to establish conspiracy. </w:t>
      </w:r>
      <w:r>
        <w:rPr>
          <w:rFonts w:ascii="Times New Roman" w:hAnsi="Times New Roman"/>
          <w:b w:val="0"/>
          <w:i/>
          <w:sz w:val="24"/>
          <w:u w:val="none"/>
        </w:rPr>
        <w:t>Halberstam v. Welch</w:t>
      </w:r>
      <w:r>
        <w:rPr>
          <w:rFonts w:ascii="Times New Roman" w:hAnsi="Times New Roman"/>
          <w:b w:val="0"/>
          <w:i w:val="0"/>
          <w:sz w:val="24"/>
          <w:u w:val="none"/>
        </w:rPr>
        <w:t xml:space="preserve">, 705 F.2d 472 (D.C. Cir. 1983); </w:t>
      </w:r>
      <w:r>
        <w:rPr>
          <w:rFonts w:ascii="Times New Roman" w:hAnsi="Times New Roman"/>
          <w:b w:val="0"/>
          <w:i/>
          <w:sz w:val="24"/>
          <w:u w:val="none"/>
        </w:rPr>
        <w:t>Advocacy Org for Patients v. Auto Club Ins. Ass'n</w:t>
      </w:r>
      <w:r>
        <w:rPr>
          <w:rFonts w:ascii="Times New Roman" w:hAnsi="Times New Roman"/>
          <w:b w:val="0"/>
          <w:i w:val="0"/>
          <w:sz w:val="24"/>
          <w:u w:val="none"/>
        </w:rPr>
        <w:t>, 257 Mich. App. 365, 392 (2003). Berry's voicemail (Item #6) constitutes direct evidence of coordination.</w:t>
      </w:r>
    </w:p>
    <w:p>
      <w:pPr>
        <w:spacing w:after="0" w:before="0" w:line="480" w:lineRule="auto"/>
        <w:ind w:firstLine="720"/>
        <w:jc w:val="left"/>
      </w:pPr>
      <w:r>
        <w:rPr>
          <w:rFonts w:ascii="Times New Roman" w:hAnsi="Times New Roman"/>
          <w:b/>
          <w:i w:val="0"/>
          <w:sz w:val="24"/>
          <w:u w:val="none"/>
        </w:rPr>
        <w:t xml:space="preserve">62. </w:t>
      </w:r>
      <w:r>
        <w:rPr>
          <w:rFonts w:ascii="Times New Roman" w:hAnsi="Times New Roman"/>
          <w:b/>
          <w:i w:val="0"/>
          <w:sz w:val="24"/>
          <w:u w:val="none"/>
        </w:rPr>
        <w:t>Element 2 — Purpose:</w:t>
      </w:r>
      <w:r>
        <w:rPr>
          <w:rFonts w:ascii="Times New Roman" w:hAnsi="Times New Roman"/>
          <w:b w:val="0"/>
          <w:i w:val="0"/>
          <w:sz w:val="24"/>
          <w:u w:val="none"/>
        </w:rPr>
        <w:t xml:space="preserve"> The conspiracy was directed at depriving Plaintiff of his fundamental liberty interest in his parental relationship and his right to equal protection. The one-directional benefit pattern — every coordinated action exclusively benefited Watson and harmed Plaintiff — demonstrates discriminatory purpose.</w:t>
      </w:r>
    </w:p>
    <w:p>
      <w:pPr>
        <w:spacing w:after="0" w:before="0" w:line="480" w:lineRule="auto"/>
        <w:ind w:firstLine="720"/>
        <w:jc w:val="left"/>
      </w:pPr>
      <w:r>
        <w:rPr>
          <w:rFonts w:ascii="Times New Roman" w:hAnsi="Times New Roman"/>
          <w:b/>
          <w:i w:val="0"/>
          <w:sz w:val="24"/>
          <w:u w:val="none"/>
        </w:rPr>
        <w:t xml:space="preserve">63. </w:t>
      </w:r>
      <w:r>
        <w:rPr>
          <w:rFonts w:ascii="Times New Roman" w:hAnsi="Times New Roman"/>
          <w:b/>
          <w:i w:val="0"/>
          <w:sz w:val="24"/>
          <w:u w:val="none"/>
        </w:rPr>
        <w:t>Element 3 — Overt Acts:</w:t>
      </w:r>
      <w:r>
        <w:rPr>
          <w:rFonts w:ascii="Times New Roman" w:hAnsi="Times New Roman"/>
          <w:b w:val="0"/>
          <w:i w:val="0"/>
          <w:sz w:val="24"/>
          <w:u w:val="none"/>
        </w:rPr>
        <w:t xml:space="preserve"> Each ex parte order, each same-day ruling, each Berry filing within 48 hours constitutes an overt act in furtherance of the conspiracy. Five ex parte orders on August 8, 2025 alone constitute five overt acts.</w:t>
      </w:r>
    </w:p>
    <w:p>
      <w:pPr>
        <w:spacing w:after="0" w:before="0" w:line="480" w:lineRule="auto"/>
        <w:ind w:firstLine="720"/>
        <w:jc w:val="left"/>
      </w:pPr>
      <w:r>
        <w:rPr>
          <w:rFonts w:ascii="Times New Roman" w:hAnsi="Times New Roman"/>
          <w:b/>
          <w:i w:val="0"/>
          <w:sz w:val="24"/>
          <w:u w:val="none"/>
        </w:rPr>
        <w:t xml:space="preserve">64. </w:t>
      </w:r>
      <w:r>
        <w:rPr>
          <w:rFonts w:ascii="Times New Roman" w:hAnsi="Times New Roman"/>
          <w:b/>
          <w:i w:val="0"/>
          <w:sz w:val="24"/>
          <w:u w:val="none"/>
        </w:rPr>
        <w:t>Element 4 — Injury:</w:t>
      </w:r>
      <w:r>
        <w:rPr>
          <w:rFonts w:ascii="Times New Roman" w:hAnsi="Times New Roman"/>
          <w:b w:val="0"/>
          <w:i w:val="0"/>
          <w:sz w:val="24"/>
          <w:u w:val="none"/>
        </w:rPr>
        <w:t xml:space="preserve"> Plaintiff has suffered 567+ days of complete separation from his child, emotional distress, financial harm, loss of employment, and deprivation of multiple constitutional rights.</w:t>
      </w:r>
    </w:p>
    <w:p>
      <w:pPr>
        <w:spacing w:after="0" w:before="0" w:line="480" w:lineRule="auto"/>
        <w:ind w:firstLine="720"/>
        <w:jc w:val="left"/>
      </w:pPr>
      <w:r>
        <w:rPr>
          <w:rFonts w:ascii="Times New Roman" w:hAnsi="Times New Roman"/>
          <w:b/>
          <w:i w:val="0"/>
          <w:sz w:val="24"/>
          <w:u w:val="none"/>
        </w:rPr>
        <w:t xml:space="preserve">65. </w:t>
      </w:r>
      <w:r>
        <w:rPr>
          <w:rFonts w:ascii="Times New Roman" w:hAnsi="Times New Roman"/>
          <w:b w:val="0"/>
          <w:i w:val="0"/>
          <w:sz w:val="24"/>
          <w:u w:val="none"/>
        </w:rPr>
        <w:t xml:space="preserve">Under </w:t>
      </w:r>
      <w:r>
        <w:rPr>
          <w:rFonts w:ascii="Times New Roman" w:hAnsi="Times New Roman"/>
          <w:b w:val="0"/>
          <w:i/>
          <w:sz w:val="24"/>
          <w:u w:val="none"/>
        </w:rPr>
        <w:t>Dennis v. Sparks</w:t>
      </w:r>
      <w:r>
        <w:rPr>
          <w:rFonts w:ascii="Times New Roman" w:hAnsi="Times New Roman"/>
          <w:b w:val="0"/>
          <w:i w:val="0"/>
          <w:sz w:val="24"/>
          <w:u w:val="none"/>
        </w:rPr>
        <w:t xml:space="preserve">, 449 U.S. 24 (1980), private parties who conspire with a judge to deprive others of constitutional rights act under color of state law and are liable under § 1983. Judicial immunity does not extend to co-conspirators — it is personal to the judge. </w:t>
      </w:r>
      <w:r>
        <w:rPr>
          <w:rFonts w:ascii="Times New Roman" w:hAnsi="Times New Roman"/>
          <w:b w:val="0"/>
          <w:i/>
          <w:sz w:val="24"/>
          <w:u w:val="none"/>
        </w:rPr>
        <w:t>Id.</w:t>
      </w:r>
      <w:r>
        <w:rPr>
          <w:rFonts w:ascii="Times New Roman" w:hAnsi="Times New Roman"/>
          <w:b w:val="0"/>
          <w:i w:val="0"/>
          <w:sz w:val="24"/>
          <w:u w:val="none"/>
        </w:rPr>
        <w:t xml:space="preserve"> at 28-29.</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IX. JUDICIAL IMMUNITY ANALYSIS</w:t>
      </w:r>
    </w:p>
    <w:p>
      <w:pPr>
        <w:spacing w:after="0" w:before="0" w:line="480" w:lineRule="auto"/>
        <w:jc w:val="left"/>
      </w:pPr>
      <w:r>
        <w:rPr>
          <w:rFonts w:ascii="Times New Roman" w:hAnsi="Times New Roman"/>
          <w:b/>
          <w:i w:val="0"/>
          <w:sz w:val="24"/>
          <w:u w:val="single"/>
        </w:rPr>
        <w:t>A. The General Rule and Its Exceptions</w:t>
      </w:r>
    </w:p>
    <w:p>
      <w:pPr>
        <w:spacing w:after="0" w:before="0" w:line="480" w:lineRule="auto"/>
        <w:ind w:firstLine="720"/>
        <w:jc w:val="left"/>
      </w:pPr>
      <w:r>
        <w:rPr>
          <w:rFonts w:ascii="Times New Roman" w:hAnsi="Times New Roman"/>
          <w:b/>
          <w:i w:val="0"/>
          <w:sz w:val="24"/>
          <w:u w:val="none"/>
        </w:rPr>
        <w:t xml:space="preserve">66. </w:t>
      </w:r>
      <w:r>
        <w:rPr>
          <w:rFonts w:ascii="Times New Roman" w:hAnsi="Times New Roman"/>
          <w:b w:val="0"/>
          <w:i w:val="0"/>
          <w:sz w:val="24"/>
          <w:u w:val="none"/>
        </w:rPr>
        <w:t xml:space="preserve">Judges are generally immune from § 1983 damages for acts performed in their judicial capacity. </w:t>
      </w:r>
      <w:r>
        <w:rPr>
          <w:rFonts w:ascii="Times New Roman" w:hAnsi="Times New Roman"/>
          <w:b w:val="0"/>
          <w:i/>
          <w:sz w:val="24"/>
          <w:u w:val="none"/>
        </w:rPr>
        <w:t>Mireles v. Waco</w:t>
      </w:r>
      <w:r>
        <w:rPr>
          <w:rFonts w:ascii="Times New Roman" w:hAnsi="Times New Roman"/>
          <w:b w:val="0"/>
          <w:i w:val="0"/>
          <w:sz w:val="24"/>
          <w:u w:val="none"/>
        </w:rPr>
        <w:t>, 502 U.S. 9 (1991). However, two well-established exceptions apply:</w:t>
      </w:r>
    </w:p>
    <w:p>
      <w:pPr>
        <w:spacing w:after="0" w:before="0" w:line="480" w:lineRule="auto"/>
        <w:ind w:firstLine="720"/>
        <w:jc w:val="left"/>
      </w:pPr>
      <w:r>
        <w:rPr>
          <w:rFonts w:ascii="Times New Roman" w:hAnsi="Times New Roman"/>
          <w:b/>
          <w:i w:val="0"/>
          <w:sz w:val="24"/>
          <w:u w:val="none"/>
        </w:rPr>
        <w:t xml:space="preserve">67. </w:t>
      </w:r>
      <w:r>
        <w:rPr>
          <w:rFonts w:ascii="Times New Roman" w:hAnsi="Times New Roman"/>
          <w:b/>
          <w:i w:val="0"/>
          <w:sz w:val="24"/>
          <w:u w:val="none"/>
        </w:rPr>
        <w:t>Exception 1 — Non-Judicial Acts:</w:t>
      </w:r>
      <w:r>
        <w:rPr>
          <w:rFonts w:ascii="Times New Roman" w:hAnsi="Times New Roman"/>
          <w:b w:val="0"/>
          <w:i w:val="0"/>
          <w:sz w:val="24"/>
          <w:u w:val="none"/>
        </w:rPr>
        <w:t xml:space="preserve"> Judicial immunity does not apply to acts that are "not taken in the judge's judicial capacity." </w:t>
      </w:r>
      <w:r>
        <w:rPr>
          <w:rFonts w:ascii="Times New Roman" w:hAnsi="Times New Roman"/>
          <w:b w:val="0"/>
          <w:i/>
          <w:sz w:val="24"/>
          <w:u w:val="none"/>
        </w:rPr>
        <w:t>Id.</w:t>
      </w:r>
      <w:r>
        <w:rPr>
          <w:rFonts w:ascii="Times New Roman" w:hAnsi="Times New Roman"/>
          <w:b w:val="0"/>
          <w:i w:val="0"/>
          <w:sz w:val="24"/>
          <w:u w:val="none"/>
        </w:rPr>
        <w:t xml:space="preserve"> at 11-12; </w:t>
      </w:r>
      <w:r>
        <w:rPr>
          <w:rFonts w:ascii="Times New Roman" w:hAnsi="Times New Roman"/>
          <w:b w:val="0"/>
          <w:i/>
          <w:sz w:val="24"/>
          <w:u w:val="none"/>
        </w:rPr>
        <w:t>Forrester v. White</w:t>
      </w:r>
      <w:r>
        <w:rPr>
          <w:rFonts w:ascii="Times New Roman" w:hAnsi="Times New Roman"/>
          <w:b w:val="0"/>
          <w:i w:val="0"/>
          <w:sz w:val="24"/>
          <w:u w:val="none"/>
        </w:rPr>
        <w:t>, 484 U.S. 219 (1988). Ex parte communications with a party or their attorney are not judicial acts — they are administrative or personal acts that violate MCR 2.003 and Canon 3A(4) of the Michigan Code of Judicial Conduct. McNeill's self-ruling on her own disqualification motion — a function assigned by MCR 2.003(D) to the Chief Judge — is likewise a non-judicial administrative act.</w:t>
      </w:r>
    </w:p>
    <w:p>
      <w:pPr>
        <w:spacing w:after="0" w:before="0" w:line="480" w:lineRule="auto"/>
        <w:ind w:firstLine="720"/>
        <w:jc w:val="left"/>
      </w:pPr>
      <w:r>
        <w:rPr>
          <w:rFonts w:ascii="Times New Roman" w:hAnsi="Times New Roman"/>
          <w:b/>
          <w:i w:val="0"/>
          <w:sz w:val="24"/>
          <w:u w:val="none"/>
        </w:rPr>
        <w:t xml:space="preserve">68. </w:t>
      </w:r>
      <w:r>
        <w:rPr>
          <w:rFonts w:ascii="Times New Roman" w:hAnsi="Times New Roman"/>
          <w:b/>
          <w:i w:val="0"/>
          <w:sz w:val="24"/>
          <w:u w:val="none"/>
        </w:rPr>
        <w:t>Exception 2 — Complete Absence of All Jurisdiction:</w:t>
      </w:r>
      <w:r>
        <w:rPr>
          <w:rFonts w:ascii="Times New Roman" w:hAnsi="Times New Roman"/>
          <w:b w:val="0"/>
          <w:i w:val="0"/>
          <w:sz w:val="24"/>
          <w:u w:val="none"/>
        </w:rPr>
        <w:t xml:space="preserve"> Judicial immunity does not apply to acts "taken in the clear absence of all jurisdiction." </w:t>
      </w:r>
      <w:r>
        <w:rPr>
          <w:rFonts w:ascii="Times New Roman" w:hAnsi="Times New Roman"/>
          <w:b w:val="0"/>
          <w:i/>
          <w:sz w:val="24"/>
          <w:u w:val="none"/>
        </w:rPr>
        <w:t>Stump v. Sparkman</w:t>
      </w:r>
      <w:r>
        <w:rPr>
          <w:rFonts w:ascii="Times New Roman" w:hAnsi="Times New Roman"/>
          <w:b w:val="0"/>
          <w:i w:val="0"/>
          <w:sz w:val="24"/>
          <w:u w:val="none"/>
        </w:rPr>
        <w:t xml:space="preserve">, 435 U.S. 349, 356-57 (1978). The jurisdiction to act ex parte under MCR 3.207(C)(2) is </w:t>
      </w:r>
      <w:r>
        <w:rPr>
          <w:rFonts w:ascii="Times New Roman" w:hAnsi="Times New Roman"/>
          <w:b w:val="0"/>
          <w:i/>
          <w:sz w:val="24"/>
          <w:u w:val="none"/>
        </w:rPr>
        <w:t>conditional</w:t>
      </w:r>
      <w:r>
        <w:rPr>
          <w:rFonts w:ascii="Times New Roman" w:hAnsi="Times New Roman"/>
          <w:b w:val="0"/>
          <w:i w:val="0"/>
          <w:sz w:val="24"/>
          <w:u w:val="none"/>
        </w:rPr>
        <w:t xml:space="preserve"> — it requires specific sworn facts showing imminent danger. When McNeill entered five ex parte orders on August 8, 2025, without compliance with any of the mandatory prerequisites that confer jurisdiction to act ex parte, she acted in the </w:t>
      </w:r>
      <w:r>
        <w:rPr>
          <w:rFonts w:ascii="Times New Roman" w:hAnsi="Times New Roman"/>
          <w:b/>
          <w:i w:val="0"/>
          <w:sz w:val="24"/>
          <w:u w:val="none"/>
        </w:rPr>
        <w:t>complete absence of the jurisdiction that due process confers</w:t>
      </w:r>
      <w:r>
        <w:rPr>
          <w:rFonts w:ascii="Times New Roman" w:hAnsi="Times New Roman"/>
          <w:b w:val="0"/>
          <w:i w:val="0"/>
          <w:sz w:val="24"/>
          <w:u w:val="none"/>
        </w:rPr>
        <w:t xml:space="preserve">. </w:t>
      </w:r>
      <w:r>
        <w:rPr>
          <w:rFonts w:ascii="Times New Roman" w:hAnsi="Times New Roman"/>
          <w:b w:val="0"/>
          <w:i/>
          <w:sz w:val="24"/>
          <w:u w:val="none"/>
        </w:rPr>
        <w:t>See Boddie v. Connecticut</w:t>
      </w:r>
      <w:r>
        <w:rPr>
          <w:rFonts w:ascii="Times New Roman" w:hAnsi="Times New Roman"/>
          <w:b w:val="0"/>
          <w:i w:val="0"/>
          <w:sz w:val="24"/>
          <w:u w:val="none"/>
        </w:rPr>
        <w:t>, 401 U.S. 371 (1971).</w:t>
      </w:r>
    </w:p>
    <w:p>
      <w:pPr>
        <w:spacing w:after="0" w:before="0" w:line="480" w:lineRule="auto"/>
        <w:jc w:val="left"/>
      </w:pPr>
      <w:r>
        <w:rPr>
          <w:rFonts w:ascii="Times New Roman" w:hAnsi="Times New Roman"/>
          <w:b/>
          <w:i w:val="0"/>
          <w:sz w:val="24"/>
          <w:u w:val="single"/>
        </w:rPr>
        <w:t>B. The Dennis v. Sparks Conspiracy Exception</w:t>
      </w:r>
    </w:p>
    <w:p>
      <w:pPr>
        <w:spacing w:after="0" w:before="0" w:line="480" w:lineRule="auto"/>
        <w:ind w:firstLine="720"/>
        <w:jc w:val="left"/>
      </w:pPr>
      <w:r>
        <w:rPr>
          <w:rFonts w:ascii="Times New Roman" w:hAnsi="Times New Roman"/>
          <w:b/>
          <w:i w:val="0"/>
          <w:sz w:val="24"/>
          <w:u w:val="none"/>
        </w:rPr>
        <w:t xml:space="preserve">69. </w:t>
      </w:r>
      <w:r>
        <w:rPr>
          <w:rFonts w:ascii="Times New Roman" w:hAnsi="Times New Roman"/>
          <w:b w:val="0"/>
          <w:i w:val="0"/>
          <w:sz w:val="24"/>
          <w:u w:val="none"/>
        </w:rPr>
        <w:t xml:space="preserve">Even if immunity would otherwise shield McNeill's actions, the conspiracy with Watson and Berry pierces that immunity. Under </w:t>
      </w:r>
      <w:r>
        <w:rPr>
          <w:rFonts w:ascii="Times New Roman" w:hAnsi="Times New Roman"/>
          <w:b w:val="0"/>
          <w:i/>
          <w:sz w:val="24"/>
          <w:u w:val="none"/>
        </w:rPr>
        <w:t>Dennis v. Sparks</w:t>
      </w:r>
      <w:r>
        <w:rPr>
          <w:rFonts w:ascii="Times New Roman" w:hAnsi="Times New Roman"/>
          <w:b w:val="0"/>
          <w:i w:val="0"/>
          <w:sz w:val="24"/>
          <w:u w:val="none"/>
        </w:rPr>
        <w:t xml:space="preserve">, 449 U.S. 24 (1980), when a judge acts as a co-conspirator rather than as a judicial officer, the judge may be liable. The conspiracy transforms what would otherwise be judicial action into private conspiratorial action not entitled to immunity protection. The private co-conspirators — Watson and Berry — have </w:t>
      </w:r>
      <w:r>
        <w:rPr>
          <w:rFonts w:ascii="Times New Roman" w:hAnsi="Times New Roman"/>
          <w:b/>
          <w:i w:val="0"/>
          <w:sz w:val="24"/>
          <w:u w:val="none"/>
        </w:rPr>
        <w:t>no judicial immunity whatsoever</w:t>
      </w:r>
      <w:r>
        <w:rPr>
          <w:rFonts w:ascii="Times New Roman" w:hAnsi="Times New Roman"/>
          <w:b w:val="0"/>
          <w:i w:val="0"/>
          <w:sz w:val="24"/>
          <w:u w:val="none"/>
        </w:rPr>
        <w:t xml:space="preserve">. </w:t>
      </w:r>
      <w:r>
        <w:rPr>
          <w:rFonts w:ascii="Times New Roman" w:hAnsi="Times New Roman"/>
          <w:b w:val="0"/>
          <w:i/>
          <w:sz w:val="24"/>
          <w:u w:val="none"/>
        </w:rPr>
        <w:t>Id.</w:t>
      </w:r>
      <w:r>
        <w:rPr>
          <w:rFonts w:ascii="Times New Roman" w:hAnsi="Times New Roman"/>
          <w:b w:val="0"/>
          <w:i w:val="0"/>
          <w:sz w:val="24"/>
          <w:u w:val="none"/>
        </w:rPr>
        <w:t xml:space="preserve"> at 28-29.</w:t>
      </w:r>
    </w:p>
    <w:p>
      <w:pPr>
        <w:spacing w:after="0" w:before="0" w:line="480" w:lineRule="auto"/>
        <w:jc w:val="left"/>
      </w:pPr>
      <w:r>
        <w:rPr>
          <w:rFonts w:ascii="Times New Roman" w:hAnsi="Times New Roman"/>
          <w:b/>
          <w:i w:val="0"/>
          <w:sz w:val="24"/>
          <w:u w:val="single"/>
        </w:rPr>
        <w:t>C. Official-Capacity Claims</w:t>
      </w:r>
    </w:p>
    <w:p>
      <w:pPr>
        <w:spacing w:after="0" w:before="0" w:line="480" w:lineRule="auto"/>
        <w:ind w:firstLine="720"/>
        <w:jc w:val="left"/>
      </w:pPr>
      <w:r>
        <w:rPr>
          <w:rFonts w:ascii="Times New Roman" w:hAnsi="Times New Roman"/>
          <w:b/>
          <w:i w:val="0"/>
          <w:sz w:val="24"/>
          <w:u w:val="none"/>
        </w:rPr>
        <w:t xml:space="preserve">70. </w:t>
      </w:r>
      <w:r>
        <w:rPr>
          <w:rFonts w:ascii="Times New Roman" w:hAnsi="Times New Roman"/>
          <w:b w:val="0"/>
          <w:i w:val="0"/>
          <w:sz w:val="24"/>
          <w:u w:val="none"/>
        </w:rPr>
        <w:t xml:space="preserve">Regardless of individual immunity, Plaintiff seeks prospective injunctive and declaratory relief against McNeill in her official capacity. </w:t>
      </w:r>
      <w:r>
        <w:rPr>
          <w:rFonts w:ascii="Times New Roman" w:hAnsi="Times New Roman"/>
          <w:b w:val="0"/>
          <w:i/>
          <w:sz w:val="24"/>
          <w:u w:val="none"/>
        </w:rPr>
        <w:t>Pulliam v. Allen</w:t>
      </w:r>
      <w:r>
        <w:rPr>
          <w:rFonts w:ascii="Times New Roman" w:hAnsi="Times New Roman"/>
          <w:b w:val="0"/>
          <w:i w:val="0"/>
          <w:sz w:val="24"/>
          <w:u w:val="none"/>
        </w:rPr>
        <w:t xml:space="preserve">, 466 U.S. 522 (1984) (injunctive relief available against judges); </w:t>
      </w:r>
      <w:r>
        <w:rPr>
          <w:rFonts w:ascii="Times New Roman" w:hAnsi="Times New Roman"/>
          <w:b w:val="0"/>
          <w:i/>
          <w:sz w:val="24"/>
          <w:u w:val="none"/>
        </w:rPr>
        <w:t>Ex parte Young</w:t>
      </w:r>
      <w:r>
        <w:rPr>
          <w:rFonts w:ascii="Times New Roman" w:hAnsi="Times New Roman"/>
          <w:b w:val="0"/>
          <w:i w:val="0"/>
          <w:sz w:val="24"/>
          <w:u w:val="none"/>
        </w:rPr>
        <w:t>, 209 U.S. 123 (1908) (official-capacity suits for prospective relief not barred by sovereign immunity).</w:t>
      </w:r>
    </w:p>
    <w:p>
      <w:pPr>
        <w:spacing w:after="0" w:before="0" w:line="480" w:lineRule="auto"/>
        <w:jc w:val="left"/>
      </w:pPr>
      <w:r>
        <w:rPr>
          <w:rFonts w:ascii="Times New Roman" w:hAnsi="Times New Roman"/>
          <w:b/>
          <w:i w:val="0"/>
          <w:sz w:val="24"/>
          <w:u w:val="single"/>
        </w:rPr>
        <w:t>D. Application to Each Defendant</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i w:val="0"/>
                <w:sz w:val="20"/>
                <w:u w:val="none"/>
              </w:rPr>
              <w:t>Defendant</w:t>
            </w:r>
          </w:p>
        </w:tc>
        <w:tc>
          <w:tcPr>
            <w:tcW w:type="dxa" w:w="3120"/>
          </w:tcPr>
          <w:p>
            <w:pPr>
              <w:spacing w:line="240" w:lineRule="auto"/>
            </w:pPr>
            <w:r/>
            <w:r>
              <w:rPr>
                <w:rFonts w:ascii="Times New Roman" w:hAnsi="Times New Roman"/>
                <w:b/>
                <w:i w:val="0"/>
                <w:sz w:val="20"/>
                <w:u w:val="none"/>
              </w:rPr>
              <w:t>Immunity Claim</w:t>
            </w:r>
          </w:p>
        </w:tc>
        <w:tc>
          <w:tcPr>
            <w:tcW w:type="dxa" w:w="3120"/>
          </w:tcPr>
          <w:p>
            <w:pPr>
              <w:spacing w:line="240" w:lineRule="auto"/>
            </w:pPr>
            <w:r/>
            <w:r>
              <w:rPr>
                <w:rFonts w:ascii="Times New Roman" w:hAnsi="Times New Roman"/>
                <w:b/>
                <w:i w:val="0"/>
                <w:sz w:val="20"/>
                <w:u w:val="none"/>
              </w:rPr>
              <w:t>Response</w:t>
            </w:r>
          </w:p>
        </w:tc>
      </w:tr>
      <w:tr>
        <w:tc>
          <w:tcPr>
            <w:tcW w:type="dxa" w:w="3120"/>
          </w:tcPr>
          <w:p>
            <w:pPr>
              <w:spacing w:line="240" w:lineRule="auto"/>
            </w:pPr>
            <w:r/>
            <w:r>
              <w:rPr>
                <w:rFonts w:ascii="Times New Roman" w:hAnsi="Times New Roman"/>
                <w:b w:val="0"/>
                <w:i w:val="0"/>
                <w:sz w:val="20"/>
                <w:u w:val="none"/>
              </w:rPr>
              <w:t>McNeill (individual)</w:t>
            </w:r>
          </w:p>
        </w:tc>
        <w:tc>
          <w:tcPr>
            <w:tcW w:type="dxa" w:w="3120"/>
          </w:tcPr>
          <w:p>
            <w:pPr>
              <w:spacing w:line="240" w:lineRule="auto"/>
            </w:pPr>
            <w:r/>
            <w:r>
              <w:rPr>
                <w:rFonts w:ascii="Times New Roman" w:hAnsi="Times New Roman"/>
                <w:b w:val="0"/>
                <w:i w:val="0"/>
                <w:sz w:val="20"/>
                <w:u w:val="none"/>
              </w:rPr>
              <w:t>Judicial immunity</w:t>
            </w:r>
          </w:p>
        </w:tc>
        <w:tc>
          <w:tcPr>
            <w:tcW w:type="dxa" w:w="3120"/>
          </w:tcPr>
          <w:p>
            <w:pPr>
              <w:spacing w:line="240" w:lineRule="auto"/>
            </w:pPr>
            <w:r/>
            <w:r>
              <w:rPr>
                <w:rFonts w:ascii="Times New Roman" w:hAnsi="Times New Roman"/>
                <w:b w:val="0"/>
                <w:i w:val="0"/>
                <w:sz w:val="20"/>
                <w:u w:val="none"/>
              </w:rPr>
              <w:t>Pierced: (1) non-judicial acts (ex parte communications, self-ruling on disqualification); (2) complete absence of jurisdiction (no MCR 3.207(C)(2) compliance); (3) conspiracy (Dennis v. Sparks)</w:t>
            </w:r>
          </w:p>
        </w:tc>
      </w:tr>
      <w:tr>
        <w:tc>
          <w:tcPr>
            <w:tcW w:type="dxa" w:w="3120"/>
          </w:tcPr>
          <w:p>
            <w:pPr>
              <w:spacing w:line="240" w:lineRule="auto"/>
            </w:pPr>
            <w:r/>
            <w:r>
              <w:rPr>
                <w:rFonts w:ascii="Times New Roman" w:hAnsi="Times New Roman"/>
                <w:b w:val="0"/>
                <w:i w:val="0"/>
                <w:sz w:val="20"/>
                <w:u w:val="none"/>
              </w:rPr>
              <w:t>McNeill (official)</w:t>
            </w:r>
          </w:p>
        </w:tc>
        <w:tc>
          <w:tcPr>
            <w:tcW w:type="dxa" w:w="3120"/>
          </w:tcPr>
          <w:p>
            <w:pPr>
              <w:spacing w:line="240" w:lineRule="auto"/>
            </w:pPr>
            <w:r/>
            <w:r>
              <w:rPr>
                <w:rFonts w:ascii="Times New Roman" w:hAnsi="Times New Roman"/>
                <w:b w:val="0"/>
                <w:i w:val="0"/>
                <w:sz w:val="20"/>
                <w:u w:val="none"/>
              </w:rPr>
              <w:t>Sovereign immunity</w:t>
            </w:r>
          </w:p>
        </w:tc>
        <w:tc>
          <w:tcPr>
            <w:tcW w:type="dxa" w:w="3120"/>
          </w:tcPr>
          <w:p>
            <w:pPr>
              <w:spacing w:line="240" w:lineRule="auto"/>
            </w:pPr>
            <w:r/>
            <w:r>
              <w:rPr>
                <w:rFonts w:ascii="Times New Roman" w:hAnsi="Times New Roman"/>
                <w:b w:val="0"/>
                <w:i w:val="0"/>
                <w:sz w:val="20"/>
                <w:u w:val="none"/>
              </w:rPr>
              <w:t>Not applicable to prospective injunctive/declaratory relief (Ex parte Young; Pulliam)</w:t>
            </w:r>
          </w:p>
        </w:tc>
      </w:tr>
      <w:tr>
        <w:tc>
          <w:tcPr>
            <w:tcW w:type="dxa" w:w="3120"/>
          </w:tcPr>
          <w:p>
            <w:pPr>
              <w:spacing w:line="240" w:lineRule="auto"/>
            </w:pPr>
            <w:r/>
            <w:r>
              <w:rPr>
                <w:rFonts w:ascii="Times New Roman" w:hAnsi="Times New Roman"/>
                <w:b w:val="0"/>
                <w:i w:val="0"/>
                <w:sz w:val="20"/>
                <w:u w:val="none"/>
              </w:rPr>
              <w:t>Watson</w:t>
            </w:r>
          </w:p>
        </w:tc>
        <w:tc>
          <w:tcPr>
            <w:tcW w:type="dxa" w:w="3120"/>
          </w:tcPr>
          <w:p>
            <w:pPr>
              <w:spacing w:line="240" w:lineRule="auto"/>
            </w:pPr>
            <w:r/>
            <w:r>
              <w:rPr>
                <w:rFonts w:ascii="Times New Roman" w:hAnsi="Times New Roman"/>
                <w:b w:val="0"/>
                <w:i w:val="0"/>
                <w:sz w:val="20"/>
                <w:u w:val="none"/>
              </w:rPr>
              <w:t>None available</w:t>
            </w:r>
          </w:p>
        </w:tc>
        <w:tc>
          <w:tcPr>
            <w:tcW w:type="dxa" w:w="3120"/>
          </w:tcPr>
          <w:p>
            <w:pPr>
              <w:spacing w:line="240" w:lineRule="auto"/>
            </w:pPr>
            <w:r/>
            <w:r>
              <w:rPr>
                <w:rFonts w:ascii="Times New Roman" w:hAnsi="Times New Roman"/>
                <w:b w:val="0"/>
                <w:i w:val="0"/>
                <w:sz w:val="20"/>
                <w:u w:val="none"/>
              </w:rPr>
              <w:t>Private parties have NO judicial immunity (Dennis v. Sparks); litigation privilege does not extend to fraud or civil rights violations (Friedman v. Dozorc, 412 Mich. 1 (1981))</w:t>
            </w:r>
          </w:p>
        </w:tc>
      </w:tr>
      <w:tr>
        <w:tc>
          <w:tcPr>
            <w:tcW w:type="dxa" w:w="3120"/>
          </w:tcPr>
          <w:p>
            <w:pPr>
              <w:spacing w:line="240" w:lineRule="auto"/>
            </w:pPr>
            <w:r/>
            <w:r>
              <w:rPr>
                <w:rFonts w:ascii="Times New Roman" w:hAnsi="Times New Roman"/>
                <w:b w:val="0"/>
                <w:i w:val="0"/>
                <w:sz w:val="20"/>
                <w:u w:val="none"/>
              </w:rPr>
              <w:t>Berry</w:t>
            </w:r>
          </w:p>
        </w:tc>
        <w:tc>
          <w:tcPr>
            <w:tcW w:type="dxa" w:w="3120"/>
          </w:tcPr>
          <w:p>
            <w:pPr>
              <w:spacing w:line="240" w:lineRule="auto"/>
            </w:pPr>
            <w:r/>
            <w:r>
              <w:rPr>
                <w:rFonts w:ascii="Times New Roman" w:hAnsi="Times New Roman"/>
                <w:b w:val="0"/>
                <w:i w:val="0"/>
                <w:sz w:val="20"/>
                <w:u w:val="none"/>
              </w:rPr>
              <w:t>Attorney immunity</w:t>
            </w:r>
          </w:p>
        </w:tc>
        <w:tc>
          <w:tcPr>
            <w:tcW w:type="dxa" w:w="3120"/>
          </w:tcPr>
          <w:p>
            <w:pPr>
              <w:spacing w:line="240" w:lineRule="auto"/>
            </w:pPr>
            <w:r/>
            <w:r>
              <w:rPr>
                <w:rFonts w:ascii="Times New Roman" w:hAnsi="Times New Roman"/>
                <w:b w:val="0"/>
                <w:i w:val="0"/>
                <w:sz w:val="20"/>
                <w:u w:val="none"/>
              </w:rPr>
              <w:t>Does not extend to conspiracy with judge (Dennis v. Sparks); litigation privilege does not protect ex parte communications prohibited by MCR 2.003 and Canon 3A(4)</w:t>
            </w:r>
          </w:p>
        </w:tc>
      </w:tr>
    </w:tbl>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X. DAMAGES</w:t>
      </w:r>
    </w:p>
    <w:p>
      <w:pPr>
        <w:spacing w:after="0" w:before="0" w:line="480" w:lineRule="auto"/>
        <w:jc w:val="left"/>
      </w:pPr>
      <w:r>
        <w:rPr>
          <w:rFonts w:ascii="Times New Roman" w:hAnsi="Times New Roman"/>
          <w:b/>
          <w:i w:val="0"/>
          <w:sz w:val="24"/>
          <w:u w:val="single"/>
        </w:rPr>
        <w:t>A. Compensatory Damages</w:t>
      </w:r>
    </w:p>
    <w:p>
      <w:pPr>
        <w:spacing w:after="0" w:before="0" w:line="480" w:lineRule="auto"/>
        <w:ind w:firstLine="720"/>
        <w:jc w:val="left"/>
      </w:pPr>
      <w:r>
        <w:rPr>
          <w:rFonts w:ascii="Times New Roman" w:hAnsi="Times New Roman"/>
          <w:b/>
          <w:i w:val="0"/>
          <w:sz w:val="24"/>
          <w:u w:val="none"/>
        </w:rPr>
        <w:t xml:space="preserve">71. </w:t>
      </w:r>
      <w:r>
        <w:rPr>
          <w:rFonts w:ascii="Times New Roman" w:hAnsi="Times New Roman"/>
          <w:b w:val="0"/>
          <w:i w:val="0"/>
          <w:sz w:val="24"/>
          <w:u w:val="none"/>
        </w:rPr>
        <w:t>Plaintiff seeks compensatory damages for the following categories of harm:</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i w:val="0"/>
                <w:sz w:val="20"/>
                <w:u w:val="none"/>
              </w:rPr>
              <w:t>Category</w:t>
            </w:r>
          </w:p>
        </w:tc>
        <w:tc>
          <w:tcPr>
            <w:tcW w:type="dxa" w:w="2340"/>
          </w:tcPr>
          <w:p>
            <w:pPr>
              <w:spacing w:line="240" w:lineRule="auto"/>
            </w:pPr>
            <w:r/>
            <w:r>
              <w:rPr>
                <w:rFonts w:ascii="Times New Roman" w:hAnsi="Times New Roman"/>
                <w:b/>
                <w:i w:val="0"/>
                <w:sz w:val="20"/>
                <w:u w:val="none"/>
              </w:rPr>
              <w:t>Conservative</w:t>
            </w:r>
          </w:p>
        </w:tc>
        <w:tc>
          <w:tcPr>
            <w:tcW w:type="dxa" w:w="2340"/>
          </w:tcPr>
          <w:p>
            <w:pPr>
              <w:spacing w:line="240" w:lineRule="auto"/>
            </w:pPr>
            <w:r/>
            <w:r>
              <w:rPr>
                <w:rFonts w:ascii="Times New Roman" w:hAnsi="Times New Roman"/>
                <w:b/>
                <w:i w:val="0"/>
                <w:sz w:val="20"/>
                <w:u w:val="none"/>
              </w:rPr>
              <w:t>Moderate</w:t>
            </w:r>
          </w:p>
        </w:tc>
        <w:tc>
          <w:tcPr>
            <w:tcW w:type="dxa" w:w="2340"/>
          </w:tcPr>
          <w:p>
            <w:pPr>
              <w:spacing w:line="240" w:lineRule="auto"/>
            </w:pPr>
            <w:r/>
            <w:r>
              <w:rPr>
                <w:rFonts w:ascii="Times New Roman" w:hAnsi="Times New Roman"/>
                <w:b/>
                <w:i w:val="0"/>
                <w:sz w:val="20"/>
                <w:u w:val="none"/>
              </w:rPr>
              <w:t>Aggressive</w:t>
            </w:r>
          </w:p>
        </w:tc>
      </w:tr>
      <w:tr>
        <w:tc>
          <w:tcPr>
            <w:tcW w:type="dxa" w:w="2340"/>
          </w:tcPr>
          <w:p>
            <w:pPr>
              <w:spacing w:line="240" w:lineRule="auto"/>
            </w:pPr>
            <w:r/>
            <w:r>
              <w:rPr>
                <w:rFonts w:ascii="Times New Roman" w:hAnsi="Times New Roman"/>
                <w:b w:val="0"/>
                <w:i w:val="0"/>
                <w:sz w:val="20"/>
                <w:u w:val="none"/>
              </w:rPr>
              <w:t>Loss of Parent-Child Companionship (567+ days × $100-$500/day)</w:t>
            </w:r>
          </w:p>
        </w:tc>
        <w:tc>
          <w:tcPr>
            <w:tcW w:type="dxa" w:w="2340"/>
          </w:tcPr>
          <w:p>
            <w:pPr>
              <w:spacing w:line="240" w:lineRule="auto"/>
            </w:pPr>
            <w:r/>
            <w:r>
              <w:rPr>
                <w:rFonts w:ascii="Times New Roman" w:hAnsi="Times New Roman"/>
                <w:b w:val="0"/>
                <w:i w:val="0"/>
                <w:sz w:val="20"/>
                <w:u w:val="none"/>
              </w:rPr>
              <w:t>$56,700</w:t>
            </w:r>
          </w:p>
        </w:tc>
        <w:tc>
          <w:tcPr>
            <w:tcW w:type="dxa" w:w="2340"/>
          </w:tcPr>
          <w:p>
            <w:pPr>
              <w:spacing w:line="240" w:lineRule="auto"/>
            </w:pPr>
            <w:r/>
            <w:r>
              <w:rPr>
                <w:rFonts w:ascii="Times New Roman" w:hAnsi="Times New Roman"/>
                <w:b w:val="0"/>
                <w:i w:val="0"/>
                <w:sz w:val="20"/>
                <w:u w:val="none"/>
              </w:rPr>
              <w:t>$170,100</w:t>
            </w:r>
          </w:p>
        </w:tc>
        <w:tc>
          <w:tcPr>
            <w:tcW w:type="dxa" w:w="2340"/>
          </w:tcPr>
          <w:p>
            <w:pPr>
              <w:spacing w:line="240" w:lineRule="auto"/>
            </w:pPr>
            <w:r/>
            <w:r>
              <w:rPr>
                <w:rFonts w:ascii="Times New Roman" w:hAnsi="Times New Roman"/>
                <w:b w:val="0"/>
                <w:i w:val="0"/>
                <w:sz w:val="20"/>
                <w:u w:val="none"/>
              </w:rPr>
              <w:t>$283,500</w:t>
            </w:r>
          </w:p>
        </w:tc>
      </w:tr>
      <w:tr>
        <w:tc>
          <w:tcPr>
            <w:tcW w:type="dxa" w:w="2340"/>
          </w:tcPr>
          <w:p>
            <w:pPr>
              <w:spacing w:line="240" w:lineRule="auto"/>
            </w:pPr>
            <w:r/>
            <w:r>
              <w:rPr>
                <w:rFonts w:ascii="Times New Roman" w:hAnsi="Times New Roman"/>
                <w:b w:val="0"/>
                <w:i w:val="0"/>
                <w:sz w:val="20"/>
                <w:u w:val="none"/>
              </w:rPr>
              <w:t>Emotional Distress — Father (prolonged forced separation, systematic silencing, financial coercion)</w:t>
            </w:r>
          </w:p>
        </w:tc>
        <w:tc>
          <w:tcPr>
            <w:tcW w:type="dxa" w:w="2340"/>
          </w:tcPr>
          <w:p>
            <w:pPr>
              <w:spacing w:line="240" w:lineRule="auto"/>
            </w:pPr>
            <w:r/>
            <w:r>
              <w:rPr>
                <w:rFonts w:ascii="Times New Roman" w:hAnsi="Times New Roman"/>
                <w:b w:val="0"/>
                <w:i w:val="0"/>
                <w:sz w:val="20"/>
                <w:u w:val="none"/>
              </w:rPr>
              <w:t>$25,000</w:t>
            </w:r>
          </w:p>
        </w:tc>
        <w:tc>
          <w:tcPr>
            <w:tcW w:type="dxa" w:w="2340"/>
          </w:tcPr>
          <w:p>
            <w:pPr>
              <w:spacing w:line="240" w:lineRule="auto"/>
            </w:pPr>
            <w:r/>
            <w:r>
              <w:rPr>
                <w:rFonts w:ascii="Times New Roman" w:hAnsi="Times New Roman"/>
                <w:b w:val="0"/>
                <w:i w:val="0"/>
                <w:sz w:val="20"/>
                <w:u w:val="none"/>
              </w:rPr>
              <w:t>$75,000</w:t>
            </w:r>
          </w:p>
        </w:tc>
        <w:tc>
          <w:tcPr>
            <w:tcW w:type="dxa" w:w="2340"/>
          </w:tcPr>
          <w:p>
            <w:pPr>
              <w:spacing w:line="240" w:lineRule="auto"/>
            </w:pPr>
            <w:r/>
            <w:r>
              <w:rPr>
                <w:rFonts w:ascii="Times New Roman" w:hAnsi="Times New Roman"/>
                <w:b w:val="0"/>
                <w:i w:val="0"/>
                <w:sz w:val="20"/>
                <w:u w:val="none"/>
              </w:rPr>
              <w:t>$200,000</w:t>
            </w:r>
          </w:p>
        </w:tc>
      </w:tr>
      <w:tr>
        <w:tc>
          <w:tcPr>
            <w:tcW w:type="dxa" w:w="2340"/>
          </w:tcPr>
          <w:p>
            <w:pPr>
              <w:spacing w:line="240" w:lineRule="auto"/>
            </w:pPr>
            <w:r/>
            <w:r>
              <w:rPr>
                <w:rFonts w:ascii="Times New Roman" w:hAnsi="Times New Roman"/>
                <w:b w:val="0"/>
                <w:i w:val="0"/>
                <w:sz w:val="20"/>
                <w:u w:val="none"/>
              </w:rPr>
              <w:t>Emotional Distress — Child L.D.W. (developmental harm, attachment disruption, forced separation during critical period)</w:t>
            </w:r>
          </w:p>
        </w:tc>
        <w:tc>
          <w:tcPr>
            <w:tcW w:type="dxa" w:w="2340"/>
          </w:tcPr>
          <w:p>
            <w:pPr>
              <w:spacing w:line="240" w:lineRule="auto"/>
            </w:pPr>
            <w:r/>
            <w:r>
              <w:rPr>
                <w:rFonts w:ascii="Times New Roman" w:hAnsi="Times New Roman"/>
                <w:b w:val="0"/>
                <w:i w:val="0"/>
                <w:sz w:val="20"/>
                <w:u w:val="none"/>
              </w:rPr>
              <w:t>$10,000</w:t>
            </w:r>
          </w:p>
        </w:tc>
        <w:tc>
          <w:tcPr>
            <w:tcW w:type="dxa" w:w="2340"/>
          </w:tcPr>
          <w:p>
            <w:pPr>
              <w:spacing w:line="240" w:lineRule="auto"/>
            </w:pPr>
            <w:r/>
            <w:r>
              <w:rPr>
                <w:rFonts w:ascii="Times New Roman" w:hAnsi="Times New Roman"/>
                <w:b w:val="0"/>
                <w:i w:val="0"/>
                <w:sz w:val="20"/>
                <w:u w:val="none"/>
              </w:rPr>
              <w:t>$50,000</w:t>
            </w:r>
          </w:p>
        </w:tc>
        <w:tc>
          <w:tcPr>
            <w:tcW w:type="dxa" w:w="2340"/>
          </w:tcPr>
          <w:p>
            <w:pPr>
              <w:spacing w:line="240" w:lineRule="auto"/>
            </w:pPr>
            <w:r/>
            <w:r>
              <w:rPr>
                <w:rFonts w:ascii="Times New Roman" w:hAnsi="Times New Roman"/>
                <w:b w:val="0"/>
                <w:i w:val="0"/>
                <w:sz w:val="20"/>
                <w:u w:val="none"/>
              </w:rPr>
              <w:t>$100,000</w:t>
            </w:r>
          </w:p>
        </w:tc>
      </w:tr>
      <w:tr>
        <w:tc>
          <w:tcPr>
            <w:tcW w:type="dxa" w:w="2340"/>
          </w:tcPr>
          <w:p>
            <w:pPr>
              <w:spacing w:line="240" w:lineRule="auto"/>
            </w:pPr>
            <w:r/>
            <w:r>
              <w:rPr>
                <w:rFonts w:ascii="Times New Roman" w:hAnsi="Times New Roman"/>
                <w:b w:val="0"/>
                <w:i w:val="0"/>
                <w:sz w:val="20"/>
                <w:u w:val="none"/>
              </w:rPr>
              <w:t>Legal Costs and Litigation Expenses (filing fees, copying, travel, service, research)</w:t>
            </w:r>
          </w:p>
        </w:tc>
        <w:tc>
          <w:tcPr>
            <w:tcW w:type="dxa" w:w="2340"/>
          </w:tcPr>
          <w:p>
            <w:pPr>
              <w:spacing w:line="240" w:lineRule="auto"/>
            </w:pPr>
            <w:r/>
            <w:r>
              <w:rPr>
                <w:rFonts w:ascii="Times New Roman" w:hAnsi="Times New Roman"/>
                <w:b w:val="0"/>
                <w:i w:val="0"/>
                <w:sz w:val="20"/>
                <w:u w:val="none"/>
              </w:rPr>
              <w:t>$5,000</w:t>
            </w:r>
          </w:p>
        </w:tc>
        <w:tc>
          <w:tcPr>
            <w:tcW w:type="dxa" w:w="2340"/>
          </w:tcPr>
          <w:p>
            <w:pPr>
              <w:spacing w:line="240" w:lineRule="auto"/>
            </w:pPr>
            <w:r/>
            <w:r>
              <w:rPr>
                <w:rFonts w:ascii="Times New Roman" w:hAnsi="Times New Roman"/>
                <w:b w:val="0"/>
                <w:i w:val="0"/>
                <w:sz w:val="20"/>
                <w:u w:val="none"/>
              </w:rPr>
              <w:t>$15,000</w:t>
            </w:r>
          </w:p>
        </w:tc>
        <w:tc>
          <w:tcPr>
            <w:tcW w:type="dxa" w:w="2340"/>
          </w:tcPr>
          <w:p>
            <w:pPr>
              <w:spacing w:line="240" w:lineRule="auto"/>
            </w:pPr>
            <w:r/>
            <w:r>
              <w:rPr>
                <w:rFonts w:ascii="Times New Roman" w:hAnsi="Times New Roman"/>
                <w:b w:val="0"/>
                <w:i w:val="0"/>
                <w:sz w:val="20"/>
                <w:u w:val="none"/>
              </w:rPr>
              <w:t>$30,000</w:t>
            </w:r>
          </w:p>
        </w:tc>
      </w:tr>
      <w:tr>
        <w:tc>
          <w:tcPr>
            <w:tcW w:type="dxa" w:w="2340"/>
          </w:tcPr>
          <w:p>
            <w:pPr>
              <w:spacing w:line="240" w:lineRule="auto"/>
            </w:pPr>
            <w:r/>
            <w:r>
              <w:rPr>
                <w:rFonts w:ascii="Times New Roman" w:hAnsi="Times New Roman"/>
                <w:b w:val="0"/>
                <w:i w:val="0"/>
                <w:sz w:val="20"/>
                <w:u w:val="none"/>
              </w:rPr>
              <w:t>Lost Income and Economic Opportunity (Plaintiff terminated from employer IndiGrow contemporaneous with proceedings)</w:t>
            </w:r>
          </w:p>
        </w:tc>
        <w:tc>
          <w:tcPr>
            <w:tcW w:type="dxa" w:w="2340"/>
          </w:tcPr>
          <w:p>
            <w:pPr>
              <w:spacing w:line="240" w:lineRule="auto"/>
            </w:pPr>
            <w:r/>
            <w:r>
              <w:rPr>
                <w:rFonts w:ascii="Times New Roman" w:hAnsi="Times New Roman"/>
                <w:b w:val="0"/>
                <w:i w:val="0"/>
                <w:sz w:val="20"/>
                <w:u w:val="none"/>
              </w:rPr>
              <w:t>$0</w:t>
            </w:r>
          </w:p>
        </w:tc>
        <w:tc>
          <w:tcPr>
            <w:tcW w:type="dxa" w:w="2340"/>
          </w:tcPr>
          <w:p>
            <w:pPr>
              <w:spacing w:line="240" w:lineRule="auto"/>
            </w:pPr>
            <w:r/>
            <w:r>
              <w:rPr>
                <w:rFonts w:ascii="Times New Roman" w:hAnsi="Times New Roman"/>
                <w:b w:val="0"/>
                <w:i w:val="0"/>
                <w:sz w:val="20"/>
                <w:u w:val="none"/>
              </w:rPr>
              <w:t>$10,000</w:t>
            </w:r>
          </w:p>
        </w:tc>
        <w:tc>
          <w:tcPr>
            <w:tcW w:type="dxa" w:w="2340"/>
          </w:tcPr>
          <w:p>
            <w:pPr>
              <w:spacing w:line="240" w:lineRule="auto"/>
            </w:pPr>
            <w:r/>
            <w:r>
              <w:rPr>
                <w:rFonts w:ascii="Times New Roman" w:hAnsi="Times New Roman"/>
                <w:b w:val="0"/>
                <w:i w:val="0"/>
                <w:sz w:val="20"/>
                <w:u w:val="none"/>
              </w:rPr>
              <w:t>$50,000</w:t>
            </w:r>
          </w:p>
        </w:tc>
      </w:tr>
      <w:tr>
        <w:tc>
          <w:tcPr>
            <w:tcW w:type="dxa" w:w="2340"/>
          </w:tcPr>
          <w:p>
            <w:pPr>
              <w:spacing w:line="240" w:lineRule="auto"/>
            </w:pPr>
            <w:r/>
            <w:r>
              <w:rPr>
                <w:rFonts w:ascii="Times New Roman" w:hAnsi="Times New Roman"/>
                <w:b w:val="0"/>
                <w:i w:val="0"/>
                <w:sz w:val="20"/>
                <w:u w:val="none"/>
              </w:rPr>
              <w:t>COMPENSATORY SUBTOTAL</w:t>
            </w:r>
          </w:p>
        </w:tc>
        <w:tc>
          <w:tcPr>
            <w:tcW w:type="dxa" w:w="2340"/>
          </w:tcPr>
          <w:p>
            <w:pPr>
              <w:spacing w:line="240" w:lineRule="auto"/>
            </w:pPr>
            <w:r/>
            <w:r>
              <w:rPr>
                <w:rFonts w:ascii="Times New Roman" w:hAnsi="Times New Roman"/>
                <w:b w:val="0"/>
                <w:i w:val="0"/>
                <w:sz w:val="20"/>
                <w:u w:val="none"/>
              </w:rPr>
              <w:t>$96,700</w:t>
            </w:r>
          </w:p>
        </w:tc>
        <w:tc>
          <w:tcPr>
            <w:tcW w:type="dxa" w:w="2340"/>
          </w:tcPr>
          <w:p>
            <w:pPr>
              <w:spacing w:line="240" w:lineRule="auto"/>
            </w:pPr>
            <w:r/>
            <w:r>
              <w:rPr>
                <w:rFonts w:ascii="Times New Roman" w:hAnsi="Times New Roman"/>
                <w:b w:val="0"/>
                <w:i w:val="0"/>
                <w:sz w:val="20"/>
                <w:u w:val="none"/>
              </w:rPr>
              <w:t>$320,100</w:t>
            </w:r>
          </w:p>
        </w:tc>
        <w:tc>
          <w:tcPr>
            <w:tcW w:type="dxa" w:w="2340"/>
          </w:tcPr>
          <w:p>
            <w:pPr>
              <w:spacing w:line="240" w:lineRule="auto"/>
            </w:pPr>
            <w:r/>
            <w:r>
              <w:rPr>
                <w:rFonts w:ascii="Times New Roman" w:hAnsi="Times New Roman"/>
                <w:b w:val="0"/>
                <w:i w:val="0"/>
                <w:sz w:val="20"/>
                <w:u w:val="none"/>
              </w:rPr>
              <w:t>$663,500</w:t>
            </w:r>
          </w:p>
        </w:tc>
      </w:tr>
    </w:tbl>
    <w:p/>
    <w:p>
      <w:pPr>
        <w:spacing w:after="0" w:before="0" w:line="480" w:lineRule="auto"/>
        <w:ind w:firstLine="720"/>
        <w:jc w:val="left"/>
      </w:pPr>
      <w:r>
        <w:rPr>
          <w:rFonts w:ascii="Times New Roman" w:hAnsi="Times New Roman"/>
          <w:b/>
          <w:i w:val="0"/>
          <w:sz w:val="24"/>
          <w:u w:val="none"/>
        </w:rPr>
        <w:t xml:space="preserve">72. </w:t>
      </w:r>
      <w:r>
        <w:rPr>
          <w:rFonts w:ascii="Times New Roman" w:hAnsi="Times New Roman"/>
          <w:b w:val="0"/>
          <w:i w:val="0"/>
          <w:sz w:val="24"/>
          <w:u w:val="none"/>
        </w:rPr>
        <w:t xml:space="preserve">Emotional distress damages are recoverable under § 1983 without physical injury. </w:t>
      </w:r>
      <w:r>
        <w:rPr>
          <w:rFonts w:ascii="Times New Roman" w:hAnsi="Times New Roman"/>
          <w:b w:val="0"/>
          <w:i/>
          <w:sz w:val="24"/>
          <w:u w:val="none"/>
        </w:rPr>
        <w:t>Memphis Community School Dist. v. Stachura</w:t>
      </w:r>
      <w:r>
        <w:rPr>
          <w:rFonts w:ascii="Times New Roman" w:hAnsi="Times New Roman"/>
          <w:b w:val="0"/>
          <w:i w:val="0"/>
          <w:sz w:val="24"/>
          <w:u w:val="none"/>
        </w:rPr>
        <w:t xml:space="preserve">, 477 U.S. 299, 307 (1986); </w:t>
      </w:r>
      <w:r>
        <w:rPr>
          <w:rFonts w:ascii="Times New Roman" w:hAnsi="Times New Roman"/>
          <w:b w:val="0"/>
          <w:i/>
          <w:sz w:val="24"/>
          <w:u w:val="none"/>
        </w:rPr>
        <w:t>Carey v. Piphus</w:t>
      </w:r>
      <w:r>
        <w:rPr>
          <w:rFonts w:ascii="Times New Roman" w:hAnsi="Times New Roman"/>
          <w:b w:val="0"/>
          <w:i w:val="0"/>
          <w:sz w:val="24"/>
          <w:u w:val="none"/>
        </w:rPr>
        <w:t>, 435 U.S. 247, 264 (1978).</w:t>
      </w:r>
    </w:p>
    <w:p>
      <w:pPr>
        <w:spacing w:after="0" w:before="0" w:line="480" w:lineRule="auto"/>
        <w:ind w:firstLine="720"/>
        <w:jc w:val="left"/>
      </w:pPr>
      <w:r>
        <w:rPr>
          <w:rFonts w:ascii="Times New Roman" w:hAnsi="Times New Roman"/>
          <w:b/>
          <w:i w:val="0"/>
          <w:sz w:val="24"/>
          <w:u w:val="none"/>
        </w:rPr>
        <w:t xml:space="preserve">73. </w:t>
      </w:r>
      <w:r>
        <w:rPr>
          <w:rFonts w:ascii="Times New Roman" w:hAnsi="Times New Roman"/>
          <w:b w:val="0"/>
          <w:i w:val="0"/>
          <w:sz w:val="24"/>
          <w:u w:val="none"/>
        </w:rPr>
        <w:t xml:space="preserve">Comparable federal awards for parental rights deprivation include: </w:t>
      </w:r>
      <w:r>
        <w:rPr>
          <w:rFonts w:ascii="Times New Roman" w:hAnsi="Times New Roman"/>
          <w:b w:val="0"/>
          <w:i/>
          <w:sz w:val="24"/>
          <w:u w:val="none"/>
        </w:rPr>
        <w:t>Malik v. Arapahoe County Dep't of Social Services</w:t>
      </w:r>
      <w:r>
        <w:rPr>
          <w:rFonts w:ascii="Times New Roman" w:hAnsi="Times New Roman"/>
          <w:b w:val="0"/>
          <w:i w:val="0"/>
          <w:sz w:val="24"/>
          <w:u w:val="none"/>
        </w:rPr>
        <w:t xml:space="preserve">, 191 F.3d 1306 (10th Cir. 1999) ($75,000); </w:t>
      </w:r>
      <w:r>
        <w:rPr>
          <w:rFonts w:ascii="Times New Roman" w:hAnsi="Times New Roman"/>
          <w:b w:val="0"/>
          <w:i/>
          <w:sz w:val="24"/>
          <w:u w:val="none"/>
        </w:rPr>
        <w:t>Wooley v. City of Baton Rouge</w:t>
      </w:r>
      <w:r>
        <w:rPr>
          <w:rFonts w:ascii="Times New Roman" w:hAnsi="Times New Roman"/>
          <w:b w:val="0"/>
          <w:i w:val="0"/>
          <w:sz w:val="24"/>
          <w:u w:val="none"/>
        </w:rPr>
        <w:t xml:space="preserve">, 211 F.3d 913 (5th Cir. 2000) ($100,000+); </w:t>
      </w:r>
      <w:r>
        <w:rPr>
          <w:rFonts w:ascii="Times New Roman" w:hAnsi="Times New Roman"/>
          <w:b w:val="0"/>
          <w:i/>
          <w:sz w:val="24"/>
          <w:u w:val="none"/>
        </w:rPr>
        <w:t>Brokaw v. Mercer County</w:t>
      </w:r>
      <w:r>
        <w:rPr>
          <w:rFonts w:ascii="Times New Roman" w:hAnsi="Times New Roman"/>
          <w:b w:val="0"/>
          <w:i w:val="0"/>
          <w:sz w:val="24"/>
          <w:u w:val="none"/>
        </w:rPr>
        <w:t xml:space="preserve">, 235 F.3d 1000 (7th Cir. 2000) (substantial damages); </w:t>
      </w:r>
      <w:r>
        <w:rPr>
          <w:rFonts w:ascii="Times New Roman" w:hAnsi="Times New Roman"/>
          <w:b w:val="0"/>
          <w:i/>
          <w:sz w:val="24"/>
          <w:u w:val="none"/>
        </w:rPr>
        <w:t>Kovacic v. Cuyahoga County DCFS</w:t>
      </w:r>
      <w:r>
        <w:rPr>
          <w:rFonts w:ascii="Times New Roman" w:hAnsi="Times New Roman"/>
          <w:b w:val="0"/>
          <w:i w:val="0"/>
          <w:sz w:val="24"/>
          <w:u w:val="none"/>
        </w:rPr>
        <w:t>, 606 F.3d 301 (6th Cir. 2010) (recognizing § 1983 parental rights claim).</w:t>
      </w:r>
    </w:p>
    <w:p>
      <w:pPr>
        <w:spacing w:after="0" w:before="0" w:line="480" w:lineRule="auto"/>
        <w:jc w:val="left"/>
      </w:pPr>
      <w:r>
        <w:rPr>
          <w:rFonts w:ascii="Times New Roman" w:hAnsi="Times New Roman"/>
          <w:b/>
          <w:i w:val="0"/>
          <w:sz w:val="24"/>
          <w:u w:val="single"/>
        </w:rPr>
        <w:t>B. Punitive Damages</w:t>
      </w:r>
    </w:p>
    <w:p>
      <w:pPr>
        <w:spacing w:after="0" w:before="0" w:line="480" w:lineRule="auto"/>
        <w:ind w:firstLine="720"/>
        <w:jc w:val="left"/>
      </w:pPr>
      <w:r>
        <w:rPr>
          <w:rFonts w:ascii="Times New Roman" w:hAnsi="Times New Roman"/>
          <w:b/>
          <w:i w:val="0"/>
          <w:sz w:val="24"/>
          <w:u w:val="none"/>
        </w:rPr>
        <w:t xml:space="preserve">74. </w:t>
      </w:r>
      <w:r>
        <w:rPr>
          <w:rFonts w:ascii="Times New Roman" w:hAnsi="Times New Roman"/>
          <w:b w:val="0"/>
          <w:i w:val="0"/>
          <w:sz w:val="24"/>
          <w:u w:val="none"/>
        </w:rPr>
        <w:t xml:space="preserve">Punitive damages are available under § 1983 when the defendant's conduct is "motivated by evil motive or intent, or when it involves reckless or callous indifference to the federally protected rights of others." </w:t>
      </w:r>
      <w:r>
        <w:rPr>
          <w:rFonts w:ascii="Times New Roman" w:hAnsi="Times New Roman"/>
          <w:b w:val="0"/>
          <w:i/>
          <w:sz w:val="24"/>
          <w:u w:val="none"/>
        </w:rPr>
        <w:t>Smith v. Wade</w:t>
      </w:r>
      <w:r>
        <w:rPr>
          <w:rFonts w:ascii="Times New Roman" w:hAnsi="Times New Roman"/>
          <w:b w:val="0"/>
          <w:i w:val="0"/>
          <w:sz w:val="24"/>
          <w:u w:val="none"/>
        </w:rPr>
        <w:t xml:space="preserve">, 461 U.S. 30, 56 (1983). A showing of "evil motive" is not required; "reckless indifference" suffices. </w:t>
      </w:r>
      <w:r>
        <w:rPr>
          <w:rFonts w:ascii="Times New Roman" w:hAnsi="Times New Roman"/>
          <w:b w:val="0"/>
          <w:i/>
          <w:sz w:val="24"/>
          <w:u w:val="none"/>
        </w:rPr>
        <w:t>Kolstad v. American Dental Ass'n</w:t>
      </w:r>
      <w:r>
        <w:rPr>
          <w:rFonts w:ascii="Times New Roman" w:hAnsi="Times New Roman"/>
          <w:b w:val="0"/>
          <w:i w:val="0"/>
          <w:sz w:val="24"/>
          <w:u w:val="none"/>
        </w:rPr>
        <w:t>, 527 U.S. 526, 536 (1999).</w:t>
      </w:r>
    </w:p>
    <w:p>
      <w:pPr>
        <w:spacing w:after="0" w:before="0" w:line="480" w:lineRule="auto"/>
        <w:ind w:firstLine="720"/>
        <w:jc w:val="left"/>
      </w:pPr>
      <w:r>
        <w:rPr>
          <w:rFonts w:ascii="Times New Roman" w:hAnsi="Times New Roman"/>
          <w:b/>
          <w:i w:val="0"/>
          <w:sz w:val="24"/>
          <w:u w:val="none"/>
        </w:rPr>
        <w:t xml:space="preserve">75. </w:t>
      </w:r>
      <w:r>
        <w:rPr>
          <w:rFonts w:ascii="Times New Roman" w:hAnsi="Times New Roman"/>
          <w:b w:val="0"/>
          <w:i w:val="0"/>
          <w:sz w:val="24"/>
          <w:u w:val="none"/>
        </w:rPr>
        <w:t>Defendants' conduct warrants punitive damages based on:</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val="0"/>
          <w:i w:val="0"/>
          <w:sz w:val="24"/>
          <w:u w:val="none"/>
        </w:rPr>
        <w:t>24 ex parte orders (43.6% of all orders) — systematic, not isolated;</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val="0"/>
          <w:i w:val="0"/>
          <w:sz w:val="24"/>
          <w:u w:val="none"/>
        </w:rPr>
        <w:t>5 ex parte orders on a single day (August 8, 2025) — coordinated deprivation;</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val="0"/>
          <w:i w:val="0"/>
          <w:sz w:val="24"/>
          <w:u w:val="none"/>
        </w:rPr>
        <w:t>567+ days of total separation — prolonged, deliberate;</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val="0"/>
          <w:i w:val="0"/>
          <w:sz w:val="24"/>
          <w:u w:val="none"/>
        </w:rPr>
        <w:t>Self-ruling on disqualification — refusal to yield authority;</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val="0"/>
          <w:i w:val="0"/>
          <w:sz w:val="24"/>
          <w:u w:val="none"/>
        </w:rPr>
        <w:t>$250 bond — punitive financial barrier to court access;</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val="0"/>
          <w:i w:val="0"/>
          <w:sz w:val="24"/>
          <w:u w:val="none"/>
        </w:rPr>
        <w:t>Muting/silencing Plaintiff at hearings — deliberate denial of right to be heard;</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val="0"/>
          <w:i w:val="0"/>
          <w:sz w:val="24"/>
          <w:u w:val="none"/>
        </w:rPr>
        <w:t>Zero sanctions on Watson — disparate enforcement;</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val="0"/>
          <w:i w:val="0"/>
          <w:sz w:val="24"/>
          <w:u w:val="none"/>
        </w:rPr>
        <w:t>1,127 documented judicial violations (377 critical severity) in the litigation database.</w:t>
      </w:r>
    </w:p>
    <w:p>
      <w:pPr>
        <w:spacing w:after="0" w:before="0" w:line="480" w:lineRule="auto"/>
        <w:ind w:firstLine="720"/>
        <w:jc w:val="left"/>
      </w:pPr>
      <w:r>
        <w:rPr>
          <w:rFonts w:ascii="Times New Roman" w:hAnsi="Times New Roman"/>
          <w:b/>
          <w:i w:val="0"/>
          <w:sz w:val="24"/>
          <w:u w:val="none"/>
        </w:rPr>
        <w:t xml:space="preserve">76. </w:t>
      </w:r>
      <w:r>
        <w:rPr>
          <w:rFonts w:ascii="Times New Roman" w:hAnsi="Times New Roman"/>
          <w:b w:val="0"/>
          <w:i w:val="0"/>
          <w:sz w:val="24"/>
          <w:u w:val="none"/>
        </w:rPr>
        <w:t xml:space="preserve">The Supreme Court has indicated that single-digit punitive-to-compensatory multipliers are more likely constitutional. </w:t>
      </w:r>
      <w:r>
        <w:rPr>
          <w:rFonts w:ascii="Times New Roman" w:hAnsi="Times New Roman"/>
          <w:b w:val="0"/>
          <w:i/>
          <w:sz w:val="24"/>
          <w:u w:val="none"/>
        </w:rPr>
        <w:t>BMW of North America, Inc. v. Gore</w:t>
      </w:r>
      <w:r>
        <w:rPr>
          <w:rFonts w:ascii="Times New Roman" w:hAnsi="Times New Roman"/>
          <w:b w:val="0"/>
          <w:i w:val="0"/>
          <w:sz w:val="24"/>
          <w:u w:val="none"/>
        </w:rPr>
        <w:t xml:space="preserve">, 517 U.S. 559, 581 (1996); </w:t>
      </w:r>
      <w:r>
        <w:rPr>
          <w:rFonts w:ascii="Times New Roman" w:hAnsi="Times New Roman"/>
          <w:b w:val="0"/>
          <w:i/>
          <w:sz w:val="24"/>
          <w:u w:val="none"/>
        </w:rPr>
        <w:t>State Farm Mutual Auto. Ins. Co. v. Campbell</w:t>
      </w:r>
      <w:r>
        <w:rPr>
          <w:rFonts w:ascii="Times New Roman" w:hAnsi="Times New Roman"/>
          <w:b w:val="0"/>
          <w:i w:val="0"/>
          <w:sz w:val="24"/>
          <w:u w:val="none"/>
        </w:rPr>
        <w:t>, 538 U.S. 408, 425 (2003). A 2:1 multiplier yields: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i w:val="0"/>
                <w:sz w:val="20"/>
                <w:u w:val="none"/>
              </w:rPr>
            </w:r>
          </w:p>
        </w:tc>
        <w:tc>
          <w:tcPr>
            <w:tcW w:type="dxa" w:w="2340"/>
          </w:tcPr>
          <w:p>
            <w:pPr>
              <w:spacing w:line="240" w:lineRule="auto"/>
            </w:pPr>
            <w:r/>
            <w:r>
              <w:rPr>
                <w:rFonts w:ascii="Times New Roman" w:hAnsi="Times New Roman"/>
                <w:b/>
                <w:i w:val="0"/>
                <w:sz w:val="20"/>
                <w:u w:val="none"/>
              </w:rPr>
              <w:t>Conservative</w:t>
            </w:r>
          </w:p>
        </w:tc>
        <w:tc>
          <w:tcPr>
            <w:tcW w:type="dxa" w:w="2340"/>
          </w:tcPr>
          <w:p>
            <w:pPr>
              <w:spacing w:line="240" w:lineRule="auto"/>
            </w:pPr>
            <w:r/>
            <w:r>
              <w:rPr>
                <w:rFonts w:ascii="Times New Roman" w:hAnsi="Times New Roman"/>
                <w:b/>
                <w:i w:val="0"/>
                <w:sz w:val="20"/>
                <w:u w:val="none"/>
              </w:rPr>
              <w:t>Moderate</w:t>
            </w:r>
          </w:p>
        </w:tc>
        <w:tc>
          <w:tcPr>
            <w:tcW w:type="dxa" w:w="2340"/>
          </w:tcPr>
          <w:p>
            <w:pPr>
              <w:spacing w:line="240" w:lineRule="auto"/>
            </w:pPr>
            <w:r/>
            <w:r>
              <w:rPr>
                <w:rFonts w:ascii="Times New Roman" w:hAnsi="Times New Roman"/>
                <w:b/>
                <w:i w:val="0"/>
                <w:sz w:val="20"/>
                <w:u w:val="none"/>
              </w:rPr>
              <w:t>Aggressive</w:t>
            </w:r>
          </w:p>
        </w:tc>
      </w:tr>
      <w:tr>
        <w:tc>
          <w:tcPr>
            <w:tcW w:type="dxa" w:w="2340"/>
          </w:tcPr>
          <w:p>
            <w:pPr>
              <w:spacing w:line="240" w:lineRule="auto"/>
            </w:pPr>
            <w:r/>
            <w:r>
              <w:rPr>
                <w:rFonts w:ascii="Times New Roman" w:hAnsi="Times New Roman"/>
                <w:b w:val="0"/>
                <w:i w:val="0"/>
                <w:sz w:val="20"/>
                <w:u w:val="none"/>
              </w:rPr>
              <w:t>Punitive Damages (2:1)</w:t>
            </w:r>
          </w:p>
        </w:tc>
        <w:tc>
          <w:tcPr>
            <w:tcW w:type="dxa" w:w="2340"/>
          </w:tcPr>
          <w:p>
            <w:pPr>
              <w:spacing w:line="240" w:lineRule="auto"/>
            </w:pPr>
            <w:r/>
            <w:r>
              <w:rPr>
                <w:rFonts w:ascii="Times New Roman" w:hAnsi="Times New Roman"/>
                <w:b w:val="0"/>
                <w:i w:val="0"/>
                <w:sz w:val="20"/>
                <w:u w:val="none"/>
              </w:rPr>
              <w:t>$193,400</w:t>
            </w:r>
          </w:p>
        </w:tc>
        <w:tc>
          <w:tcPr>
            <w:tcW w:type="dxa" w:w="2340"/>
          </w:tcPr>
          <w:p>
            <w:pPr>
              <w:spacing w:line="240" w:lineRule="auto"/>
            </w:pPr>
            <w:r/>
            <w:r>
              <w:rPr>
                <w:rFonts w:ascii="Times New Roman" w:hAnsi="Times New Roman"/>
                <w:b w:val="0"/>
                <w:i w:val="0"/>
                <w:sz w:val="20"/>
                <w:u w:val="none"/>
              </w:rPr>
              <w:t>$640,200</w:t>
            </w:r>
          </w:p>
        </w:tc>
        <w:tc>
          <w:tcPr>
            <w:tcW w:type="dxa" w:w="2340"/>
          </w:tcPr>
          <w:p>
            <w:pPr>
              <w:spacing w:line="240" w:lineRule="auto"/>
            </w:pPr>
            <w:r/>
            <w:r>
              <w:rPr>
                <w:rFonts w:ascii="Times New Roman" w:hAnsi="Times New Roman"/>
                <w:b w:val="0"/>
                <w:i w:val="0"/>
                <w:sz w:val="20"/>
                <w:u w:val="none"/>
              </w:rPr>
              <w:t>$1,327,000</w:t>
            </w:r>
          </w:p>
        </w:tc>
      </w:tr>
    </w:tbl>
    <w:p/>
    <w:p>
      <w:pPr>
        <w:spacing w:after="0" w:before="0" w:line="480" w:lineRule="auto"/>
        <w:jc w:val="left"/>
      </w:pPr>
      <w:r>
        <w:rPr>
          <w:rFonts w:ascii="Times New Roman" w:hAnsi="Times New Roman"/>
          <w:b/>
          <w:i w:val="0"/>
          <w:sz w:val="24"/>
          <w:u w:val="single"/>
        </w:rPr>
        <w:t>C. Nominal Damages</w:t>
      </w:r>
    </w:p>
    <w:p>
      <w:pPr>
        <w:spacing w:after="0" w:before="0" w:line="480" w:lineRule="auto"/>
        <w:ind w:firstLine="720"/>
        <w:jc w:val="left"/>
      </w:pPr>
      <w:r>
        <w:rPr>
          <w:rFonts w:ascii="Times New Roman" w:hAnsi="Times New Roman"/>
          <w:b/>
          <w:i w:val="0"/>
          <w:sz w:val="24"/>
          <w:u w:val="none"/>
        </w:rPr>
        <w:t xml:space="preserve">77. </w:t>
      </w:r>
      <w:r>
        <w:rPr>
          <w:rFonts w:ascii="Times New Roman" w:hAnsi="Times New Roman"/>
          <w:b w:val="0"/>
          <w:i w:val="0"/>
          <w:sz w:val="24"/>
          <w:u w:val="none"/>
        </w:rPr>
        <w:t xml:space="preserve">Even absent quantifiable compensatory damages, violation of a constitutional right entitles the plaintiff to nominal damages as a matter of law. </w:t>
      </w:r>
      <w:r>
        <w:rPr>
          <w:rFonts w:ascii="Times New Roman" w:hAnsi="Times New Roman"/>
          <w:b w:val="0"/>
          <w:i/>
          <w:sz w:val="24"/>
          <w:u w:val="none"/>
        </w:rPr>
        <w:t>Carey v. Piphus</w:t>
      </w:r>
      <w:r>
        <w:rPr>
          <w:rFonts w:ascii="Times New Roman" w:hAnsi="Times New Roman"/>
          <w:b w:val="0"/>
          <w:i w:val="0"/>
          <w:sz w:val="24"/>
          <w:u w:val="none"/>
        </w:rPr>
        <w:t xml:space="preserve">, 435 U.S. 247, 266 (1978). Nominal damages establish "prevailing party" status for purposes of costs. </w:t>
      </w:r>
      <w:r>
        <w:rPr>
          <w:rFonts w:ascii="Times New Roman" w:hAnsi="Times New Roman"/>
          <w:b w:val="0"/>
          <w:i/>
          <w:sz w:val="24"/>
          <w:u w:val="none"/>
        </w:rPr>
        <w:t>Farrar v. Hobby</w:t>
      </w:r>
      <w:r>
        <w:rPr>
          <w:rFonts w:ascii="Times New Roman" w:hAnsi="Times New Roman"/>
          <w:b w:val="0"/>
          <w:i w:val="0"/>
          <w:sz w:val="24"/>
          <w:u w:val="none"/>
        </w:rPr>
        <w:t xml:space="preserve">, 506 U.S. 103, 112 (1992). Nominal damages are sufficient to establish Article III standing. </w:t>
      </w:r>
      <w:r>
        <w:rPr>
          <w:rFonts w:ascii="Times New Roman" w:hAnsi="Times New Roman"/>
          <w:b w:val="0"/>
          <w:i/>
          <w:sz w:val="24"/>
          <w:u w:val="none"/>
        </w:rPr>
        <w:t>Uzuegbunam v. Preczewski</w:t>
      </w:r>
      <w:r>
        <w:rPr>
          <w:rFonts w:ascii="Times New Roman" w:hAnsi="Times New Roman"/>
          <w:b w:val="0"/>
          <w:i w:val="0"/>
          <w:sz w:val="24"/>
          <w:u w:val="none"/>
        </w:rPr>
        <w:t>, 592 U.S. 279 (2021).</w:t>
      </w:r>
    </w:p>
    <w:p>
      <w:pPr>
        <w:spacing w:after="0" w:before="0" w:line="480" w:lineRule="auto"/>
        <w:ind w:firstLine="720"/>
        <w:jc w:val="left"/>
      </w:pPr>
      <w:r>
        <w:rPr>
          <w:rFonts w:ascii="Times New Roman" w:hAnsi="Times New Roman"/>
          <w:b/>
          <w:i w:val="0"/>
          <w:sz w:val="24"/>
          <w:u w:val="none"/>
        </w:rPr>
        <w:t xml:space="preserve">78. </w:t>
      </w:r>
      <w:r>
        <w:rPr>
          <w:rFonts w:ascii="Times New Roman" w:hAnsi="Times New Roman"/>
          <w:b w:val="0"/>
          <w:i w:val="0"/>
          <w:sz w:val="24"/>
          <w:u w:val="none"/>
        </w:rPr>
        <w:t>Plaintiff seeks nominal damages of $1.00 per constitutional violation established at trial.</w:t>
      </w:r>
    </w:p>
    <w:p>
      <w:pPr>
        <w:spacing w:after="0" w:before="0" w:line="480" w:lineRule="auto"/>
        <w:jc w:val="left"/>
      </w:pPr>
      <w:r>
        <w:rPr>
          <w:rFonts w:ascii="Times New Roman" w:hAnsi="Times New Roman"/>
          <w:b/>
          <w:i w:val="0"/>
          <w:sz w:val="24"/>
          <w:u w:val="single"/>
        </w:rPr>
        <w:t>D. Costs and Fees Under 42 U.S.C. § 1988</w:t>
      </w:r>
    </w:p>
    <w:p>
      <w:pPr>
        <w:spacing w:after="0" w:before="0" w:line="480" w:lineRule="auto"/>
        <w:ind w:firstLine="720"/>
        <w:jc w:val="left"/>
      </w:pPr>
      <w:r>
        <w:rPr>
          <w:rFonts w:ascii="Times New Roman" w:hAnsi="Times New Roman"/>
          <w:b/>
          <w:i w:val="0"/>
          <w:sz w:val="24"/>
          <w:u w:val="none"/>
        </w:rPr>
        <w:t xml:space="preserve">79. </w:t>
      </w:r>
      <w:r>
        <w:rPr>
          <w:rFonts w:ascii="Times New Roman" w:hAnsi="Times New Roman"/>
          <w:b w:val="0"/>
          <w:i w:val="0"/>
          <w:sz w:val="24"/>
          <w:u w:val="none"/>
        </w:rPr>
        <w:t>Pursuant to 42 U.S.C. § 1988, a prevailing party in a § 1983 action may recover reasonable attorney's fees and costs. As a pro se litigant, Plaintiff seeks recovery of all litigation costs, filing fees, service costs, copying expenses, travel, and other reasonable out-of-pocket expenses pursuant to Fed. R. Civ. P. 54(d) and 28 U.S.C. § 1920.</w:t>
      </w:r>
    </w:p>
    <w:p>
      <w:pPr>
        <w:spacing w:after="0" w:before="0" w:line="480" w:lineRule="auto"/>
        <w:jc w:val="left"/>
      </w:pPr>
      <w:r>
        <w:rPr>
          <w:rFonts w:ascii="Times New Roman" w:hAnsi="Times New Roman"/>
          <w:b/>
          <w:i w:val="0"/>
          <w:sz w:val="24"/>
          <w:u w:val="single"/>
        </w:rPr>
        <w:t>E. Continuing Accrual</w:t>
      </w:r>
    </w:p>
    <w:p>
      <w:pPr>
        <w:spacing w:after="0" w:before="0" w:line="480" w:lineRule="auto"/>
        <w:ind w:firstLine="720"/>
        <w:jc w:val="left"/>
      </w:pPr>
      <w:r>
        <w:rPr>
          <w:rFonts w:ascii="Times New Roman" w:hAnsi="Times New Roman"/>
          <w:b/>
          <w:i w:val="0"/>
          <w:sz w:val="24"/>
          <w:u w:val="none"/>
        </w:rPr>
        <w:t xml:space="preserve">80. </w:t>
      </w:r>
      <w:r>
        <w:rPr>
          <w:rFonts w:ascii="Times New Roman" w:hAnsi="Times New Roman"/>
          <w:b w:val="0"/>
          <w:i w:val="0"/>
          <w:sz w:val="24"/>
          <w:u w:val="none"/>
        </w:rPr>
        <w:t>Damages continue to accrue daily. Each additional day of separation adds $100–$500 to compensatory damages and proportionally to punitive damages. Every day of continued separation strengthens this action by increasing compensatory damages, demonstrating ongoing deliberate indifference, and making punitive damages more appropriate.</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XI. JURY DEMAND</w:t>
      </w:r>
    </w:p>
    <w:p>
      <w:pPr>
        <w:spacing w:after="0" w:before="0" w:line="480" w:lineRule="auto"/>
        <w:ind w:firstLine="720"/>
        <w:jc w:val="left"/>
      </w:pPr>
      <w:r>
        <w:rPr>
          <w:rFonts w:ascii="Times New Roman" w:hAnsi="Times New Roman"/>
          <w:b/>
          <w:i w:val="0"/>
          <w:sz w:val="24"/>
          <w:u w:val="none"/>
        </w:rPr>
        <w:t xml:space="preserve">81. </w:t>
      </w:r>
      <w:r>
        <w:rPr>
          <w:rFonts w:ascii="Times New Roman" w:hAnsi="Times New Roman"/>
          <w:b w:val="0"/>
          <w:i w:val="0"/>
          <w:sz w:val="24"/>
          <w:u w:val="none"/>
        </w:rPr>
        <w:t>Plaintiff demands trial by jury on all issues so triable pursuant to the Seventh Amendment to the United States Constitution and Fed. R. Civ. P. 38.</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XII. PRAYER FOR RELIEF</w:t>
      </w:r>
    </w:p>
    <w:p>
      <w:pPr>
        <w:spacing w:after="0" w:before="0" w:line="480" w:lineRule="auto"/>
        <w:ind w:firstLine="720"/>
        <w:jc w:val="left"/>
      </w:pPr>
      <w:r>
        <w:rPr>
          <w:rFonts w:ascii="Times New Roman" w:hAnsi="Times New Roman"/>
          <w:b w:val="0"/>
          <w:i w:val="0"/>
          <w:sz w:val="24"/>
          <w:u w:val="none"/>
        </w:rPr>
        <w:t>WHEREFORE, Plaintiff Andrew J. Pigors respectfully requests that this Court:</w:t>
      </w:r>
    </w:p>
    <w:p>
      <w:pPr>
        <w:spacing w:after="0" w:before="0" w:line="480" w:lineRule="auto"/>
        <w:ind w:firstLine="720"/>
        <w:jc w:val="left"/>
      </w:pPr>
      <w:r>
        <w:rPr>
          <w:rFonts w:ascii="Times New Roman" w:hAnsi="Times New Roman"/>
          <w:b/>
          <w:i w:val="0"/>
          <w:sz w:val="24"/>
          <w:u w:val="none"/>
        </w:rPr>
        <w:t>A. Declaratory Relief:</w:t>
      </w:r>
    </w:p>
    <w:p>
      <w:pPr>
        <w:spacing w:after="0" w:before="0" w:line="480" w:lineRule="auto"/>
        <w:ind w:firstLine="720"/>
        <w:jc w:val="left"/>
      </w:pPr>
      <w:r>
        <w:rPr>
          <w:rFonts w:ascii="Times New Roman" w:hAnsi="Times New Roman"/>
          <w:b/>
          <w:i w:val="0"/>
          <w:sz w:val="24"/>
          <w:u w:val="none"/>
        </w:rPr>
        <w:t xml:space="preserve">1. </w:t>
      </w:r>
      <w:r>
        <w:rPr>
          <w:rFonts w:ascii="Times New Roman" w:hAnsi="Times New Roman"/>
          <w:b/>
          <w:i w:val="0"/>
          <w:sz w:val="24"/>
          <w:u w:val="none"/>
        </w:rPr>
        <w:t>DECLARE</w:t>
      </w:r>
      <w:r>
        <w:rPr>
          <w:rFonts w:ascii="Times New Roman" w:hAnsi="Times New Roman"/>
          <w:b w:val="0"/>
          <w:i w:val="0"/>
          <w:sz w:val="24"/>
          <w:u w:val="none"/>
        </w:rPr>
        <w:t xml:space="preserve"> that Defendants violated Plaintiff's rights under the First and Fourteenth Amendments to the United States Constitution;</w:t>
      </w:r>
    </w:p>
    <w:p>
      <w:pPr>
        <w:spacing w:after="0" w:before="0" w:line="480" w:lineRule="auto"/>
        <w:ind w:firstLine="720"/>
        <w:jc w:val="left"/>
      </w:pPr>
      <w:r>
        <w:rPr>
          <w:rFonts w:ascii="Times New Roman" w:hAnsi="Times New Roman"/>
          <w:b/>
          <w:i w:val="0"/>
          <w:sz w:val="24"/>
          <w:u w:val="none"/>
        </w:rPr>
        <w:t xml:space="preserve">2. </w:t>
      </w:r>
      <w:r>
        <w:rPr>
          <w:rFonts w:ascii="Times New Roman" w:hAnsi="Times New Roman"/>
          <w:b/>
          <w:i w:val="0"/>
          <w:sz w:val="24"/>
          <w:u w:val="none"/>
        </w:rPr>
        <w:t>DECLARE</w:t>
      </w:r>
      <w:r>
        <w:rPr>
          <w:rFonts w:ascii="Times New Roman" w:hAnsi="Times New Roman"/>
          <w:b w:val="0"/>
          <w:i w:val="0"/>
          <w:sz w:val="24"/>
          <w:u w:val="none"/>
        </w:rPr>
        <w:t xml:space="preserve"> that the ex parte orders of August 8, 2025, and all subsequent ex parte orders entered without notice and hearing, were entered in violation of procedural due process;</w:t>
      </w:r>
    </w:p>
    <w:p>
      <w:pPr>
        <w:spacing w:after="0" w:before="0" w:line="480" w:lineRule="auto"/>
        <w:ind w:firstLine="720"/>
        <w:jc w:val="left"/>
      </w:pPr>
      <w:r>
        <w:rPr>
          <w:rFonts w:ascii="Times New Roman" w:hAnsi="Times New Roman"/>
          <w:b/>
          <w:i w:val="0"/>
          <w:sz w:val="24"/>
          <w:u w:val="none"/>
        </w:rPr>
        <w:t xml:space="preserve">3. </w:t>
      </w:r>
      <w:r>
        <w:rPr>
          <w:rFonts w:ascii="Times New Roman" w:hAnsi="Times New Roman"/>
          <w:b/>
          <w:i w:val="0"/>
          <w:sz w:val="24"/>
          <w:u w:val="none"/>
        </w:rPr>
        <w:t>DECLARE</w:t>
      </w:r>
      <w:r>
        <w:rPr>
          <w:rFonts w:ascii="Times New Roman" w:hAnsi="Times New Roman"/>
          <w:b w:val="0"/>
          <w:i w:val="0"/>
          <w:sz w:val="24"/>
          <w:u w:val="none"/>
        </w:rPr>
        <w:t xml:space="preserve"> that the $250 bond requirement is an unconstitutional barrier to court access in violation of the First Amendment and </w:t>
      </w:r>
      <w:r>
        <w:rPr>
          <w:rFonts w:ascii="Times New Roman" w:hAnsi="Times New Roman"/>
          <w:b w:val="0"/>
          <w:i/>
          <w:sz w:val="24"/>
          <w:u w:val="none"/>
        </w:rPr>
        <w:t>Boddie v. Connecticut</w:t>
      </w:r>
      <w:r>
        <w:rPr>
          <w:rFonts w:ascii="Times New Roman" w:hAnsi="Times New Roman"/>
          <w:b w:val="0"/>
          <w:i w:val="0"/>
          <w:sz w:val="24"/>
          <w:u w:val="none"/>
        </w:rPr>
        <w:t>, 401 U.S. 371 (1971);</w:t>
      </w:r>
    </w:p>
    <w:p>
      <w:pPr>
        <w:spacing w:after="0" w:before="0" w:line="480" w:lineRule="auto"/>
        <w:ind w:firstLine="720"/>
        <w:jc w:val="left"/>
      </w:pPr>
      <w:r>
        <w:rPr>
          <w:rFonts w:ascii="Times New Roman" w:hAnsi="Times New Roman"/>
          <w:b/>
          <w:i w:val="0"/>
          <w:sz w:val="24"/>
          <w:u w:val="none"/>
        </w:rPr>
        <w:t xml:space="preserve">4. </w:t>
      </w:r>
      <w:r>
        <w:rPr>
          <w:rFonts w:ascii="Times New Roman" w:hAnsi="Times New Roman"/>
          <w:b/>
          <w:i w:val="0"/>
          <w:sz w:val="24"/>
          <w:u w:val="none"/>
        </w:rPr>
        <w:t>DECLARE</w:t>
      </w:r>
      <w:r>
        <w:rPr>
          <w:rFonts w:ascii="Times New Roman" w:hAnsi="Times New Roman"/>
          <w:b w:val="0"/>
          <w:i w:val="0"/>
          <w:sz w:val="24"/>
          <w:u w:val="none"/>
        </w:rPr>
        <w:t xml:space="preserve"> that the documented pattern of ex parte orders, disparate treatment, and coordinated conduct among Defendants constitutes a conspiracy to deprive Plaintiff of his civil rights in violation of 42 U.S.C. § 1983 and 42 U.S.C. § 1985(3);</w:t>
      </w:r>
    </w:p>
    <w:p>
      <w:pPr>
        <w:spacing w:after="0" w:before="0" w:line="480" w:lineRule="auto"/>
        <w:ind w:firstLine="720"/>
        <w:jc w:val="left"/>
      </w:pPr>
      <w:r>
        <w:rPr>
          <w:rFonts w:ascii="Times New Roman" w:hAnsi="Times New Roman"/>
          <w:b/>
          <w:i w:val="0"/>
          <w:sz w:val="24"/>
          <w:u w:val="none"/>
        </w:rPr>
        <w:t>B. Injunctive Relief:</w:t>
      </w:r>
    </w:p>
    <w:p>
      <w:pPr>
        <w:spacing w:after="0" w:before="0" w:line="480" w:lineRule="auto"/>
        <w:ind w:firstLine="720"/>
        <w:jc w:val="left"/>
      </w:pPr>
      <w:r>
        <w:rPr>
          <w:rFonts w:ascii="Times New Roman" w:hAnsi="Times New Roman"/>
          <w:b/>
          <w:i w:val="0"/>
          <w:sz w:val="24"/>
          <w:u w:val="none"/>
        </w:rPr>
        <w:t xml:space="preserve">5. </w:t>
      </w:r>
      <w:r>
        <w:rPr>
          <w:rFonts w:ascii="Times New Roman" w:hAnsi="Times New Roman"/>
          <w:b/>
          <w:i w:val="0"/>
          <w:sz w:val="24"/>
          <w:u w:val="none"/>
        </w:rPr>
        <w:t>ENJOIN</w:t>
      </w:r>
      <w:r>
        <w:rPr>
          <w:rFonts w:ascii="Times New Roman" w:hAnsi="Times New Roman"/>
          <w:b w:val="0"/>
          <w:i w:val="0"/>
          <w:sz w:val="24"/>
          <w:u w:val="none"/>
        </w:rPr>
        <w:t xml:space="preserve"> Defendant McNeill from entering any further ex parte orders affecting Plaintiff's parenting time without compliance with MCR 3.207(C)(2) and the requirements of procedural due process;</w:t>
      </w:r>
    </w:p>
    <w:p>
      <w:pPr>
        <w:spacing w:after="0" w:before="0" w:line="480" w:lineRule="auto"/>
        <w:ind w:firstLine="720"/>
        <w:jc w:val="left"/>
      </w:pPr>
      <w:r>
        <w:rPr>
          <w:rFonts w:ascii="Times New Roman" w:hAnsi="Times New Roman"/>
          <w:b/>
          <w:i w:val="0"/>
          <w:sz w:val="24"/>
          <w:u w:val="none"/>
        </w:rPr>
        <w:t xml:space="preserve">6. </w:t>
      </w:r>
      <w:r>
        <w:rPr>
          <w:rFonts w:ascii="Times New Roman" w:hAnsi="Times New Roman"/>
          <w:b/>
          <w:i w:val="0"/>
          <w:sz w:val="24"/>
          <w:u w:val="none"/>
        </w:rPr>
        <w:t>ENJOIN</w:t>
      </w:r>
      <w:r>
        <w:rPr>
          <w:rFonts w:ascii="Times New Roman" w:hAnsi="Times New Roman"/>
          <w:b w:val="0"/>
          <w:i w:val="0"/>
          <w:sz w:val="24"/>
          <w:u w:val="none"/>
        </w:rPr>
        <w:t xml:space="preserve"> the enforcement of the $250 bond requirement;</w:t>
      </w:r>
    </w:p>
    <w:p>
      <w:pPr>
        <w:spacing w:after="0" w:before="0" w:line="480" w:lineRule="auto"/>
        <w:ind w:firstLine="720"/>
        <w:jc w:val="left"/>
      </w:pPr>
      <w:r>
        <w:rPr>
          <w:rFonts w:ascii="Times New Roman" w:hAnsi="Times New Roman"/>
          <w:b/>
          <w:i w:val="0"/>
          <w:sz w:val="24"/>
          <w:u w:val="none"/>
        </w:rPr>
        <w:t xml:space="preserve">7. </w:t>
      </w:r>
      <w:r>
        <w:rPr>
          <w:rFonts w:ascii="Times New Roman" w:hAnsi="Times New Roman"/>
          <w:b/>
          <w:i w:val="0"/>
          <w:sz w:val="24"/>
          <w:u w:val="none"/>
        </w:rPr>
        <w:t>ORDER</w:t>
      </w:r>
      <w:r>
        <w:rPr>
          <w:rFonts w:ascii="Times New Roman" w:hAnsi="Times New Roman"/>
          <w:b w:val="0"/>
          <w:i w:val="0"/>
          <w:sz w:val="24"/>
          <w:u w:val="none"/>
        </w:rPr>
        <w:t xml:space="preserve"> the immediate restoration of Plaintiff's parenting time pending a full evidentiary hearing with findings of fact under MCL 722.23;</w:t>
      </w:r>
    </w:p>
    <w:p>
      <w:pPr>
        <w:spacing w:after="0" w:before="0" w:line="480" w:lineRule="auto"/>
        <w:ind w:firstLine="720"/>
        <w:jc w:val="left"/>
      </w:pPr>
      <w:r>
        <w:rPr>
          <w:rFonts w:ascii="Times New Roman" w:hAnsi="Times New Roman"/>
          <w:b/>
          <w:i w:val="0"/>
          <w:sz w:val="24"/>
          <w:u w:val="none"/>
        </w:rPr>
        <w:t xml:space="preserve">8. </w:t>
      </w:r>
      <w:r>
        <w:rPr>
          <w:rFonts w:ascii="Times New Roman" w:hAnsi="Times New Roman"/>
          <w:b/>
          <w:i w:val="0"/>
          <w:sz w:val="24"/>
          <w:u w:val="none"/>
        </w:rPr>
        <w:t>ORDER</w:t>
      </w:r>
      <w:r>
        <w:rPr>
          <w:rFonts w:ascii="Times New Roman" w:hAnsi="Times New Roman"/>
          <w:b w:val="0"/>
          <w:i w:val="0"/>
          <w:sz w:val="24"/>
          <w:u w:val="none"/>
        </w:rPr>
        <w:t xml:space="preserve"> the reassignment of all Pigors v. Watson matters (Case Nos. 2024-001507-DC and 2023-5907-PP) to a different judge;</w:t>
      </w:r>
    </w:p>
    <w:p>
      <w:pPr>
        <w:spacing w:after="0" w:before="0" w:line="480" w:lineRule="auto"/>
        <w:ind w:firstLine="720"/>
        <w:jc w:val="left"/>
      </w:pPr>
      <w:r>
        <w:rPr>
          <w:rFonts w:ascii="Times New Roman" w:hAnsi="Times New Roman"/>
          <w:b/>
          <w:i w:val="0"/>
          <w:sz w:val="24"/>
          <w:u w:val="none"/>
        </w:rPr>
        <w:t>C. Monetary Relief:</w:t>
      </w:r>
    </w:p>
    <w:p>
      <w:pPr>
        <w:spacing w:after="0" w:before="0" w:line="480" w:lineRule="auto"/>
        <w:ind w:firstLine="720"/>
        <w:jc w:val="left"/>
      </w:pPr>
      <w:r>
        <w:rPr>
          <w:rFonts w:ascii="Times New Roman" w:hAnsi="Times New Roman"/>
          <w:b/>
          <w:i w:val="0"/>
          <w:sz w:val="24"/>
          <w:u w:val="none"/>
        </w:rPr>
        <w:t xml:space="preserve">9. </w:t>
      </w:r>
      <w:r>
        <w:rPr>
          <w:rFonts w:ascii="Times New Roman" w:hAnsi="Times New Roman"/>
          <w:b/>
          <w:i w:val="0"/>
          <w:sz w:val="24"/>
          <w:u w:val="none"/>
        </w:rPr>
        <w:t>AWARD</w:t>
      </w:r>
      <w:r>
        <w:rPr>
          <w:rFonts w:ascii="Times New Roman" w:hAnsi="Times New Roman"/>
          <w:b w:val="0"/>
          <w:i w:val="0"/>
          <w:sz w:val="24"/>
          <w:u w:val="none"/>
        </w:rPr>
        <w:t xml:space="preserve"> compensatory damages in an amount to be determined at trial, but not less than $320,100;</w:t>
      </w:r>
    </w:p>
    <w:p>
      <w:pPr>
        <w:spacing w:after="0" w:before="0" w:line="480" w:lineRule="auto"/>
        <w:ind w:firstLine="720"/>
        <w:jc w:val="left"/>
      </w:pPr>
      <w:r>
        <w:rPr>
          <w:rFonts w:ascii="Times New Roman" w:hAnsi="Times New Roman"/>
          <w:b/>
          <w:i w:val="0"/>
          <w:sz w:val="24"/>
          <w:u w:val="none"/>
        </w:rPr>
        <w:t xml:space="preserve">10. </w:t>
      </w:r>
      <w:r>
        <w:rPr>
          <w:rFonts w:ascii="Times New Roman" w:hAnsi="Times New Roman"/>
          <w:b/>
          <w:i w:val="0"/>
          <w:sz w:val="24"/>
          <w:u w:val="none"/>
        </w:rPr>
        <w:t>AWARD</w:t>
      </w:r>
      <w:r>
        <w:rPr>
          <w:rFonts w:ascii="Times New Roman" w:hAnsi="Times New Roman"/>
          <w:b w:val="0"/>
          <w:i w:val="0"/>
          <w:sz w:val="24"/>
          <w:u w:val="none"/>
        </w:rPr>
        <w:t xml:space="preserve"> punitive damages against each Defendant in an amount to be determined at trial;</w:t>
      </w:r>
    </w:p>
    <w:p>
      <w:pPr>
        <w:spacing w:after="0" w:before="0" w:line="480" w:lineRule="auto"/>
        <w:ind w:firstLine="720"/>
        <w:jc w:val="left"/>
      </w:pPr>
      <w:r>
        <w:rPr>
          <w:rFonts w:ascii="Times New Roman" w:hAnsi="Times New Roman"/>
          <w:b/>
          <w:i w:val="0"/>
          <w:sz w:val="24"/>
          <w:u w:val="none"/>
        </w:rPr>
        <w:t xml:space="preserve">11. </w:t>
      </w:r>
      <w:r>
        <w:rPr>
          <w:rFonts w:ascii="Times New Roman" w:hAnsi="Times New Roman"/>
          <w:b/>
          <w:i w:val="0"/>
          <w:sz w:val="24"/>
          <w:u w:val="none"/>
        </w:rPr>
        <w:t>AWARD</w:t>
      </w:r>
      <w:r>
        <w:rPr>
          <w:rFonts w:ascii="Times New Roman" w:hAnsi="Times New Roman"/>
          <w:b w:val="0"/>
          <w:i w:val="0"/>
          <w:sz w:val="24"/>
          <w:u w:val="none"/>
        </w:rPr>
        <w:t xml:space="preserve"> nominal damages of $1.00 per constitutional violation established;</w:t>
      </w:r>
    </w:p>
    <w:p>
      <w:pPr>
        <w:spacing w:after="0" w:before="0" w:line="480" w:lineRule="auto"/>
        <w:ind w:firstLine="720"/>
        <w:jc w:val="left"/>
      </w:pPr>
      <w:r>
        <w:rPr>
          <w:rFonts w:ascii="Times New Roman" w:hAnsi="Times New Roman"/>
          <w:b/>
          <w:i w:val="0"/>
          <w:sz w:val="24"/>
          <w:u w:val="none"/>
        </w:rPr>
        <w:t xml:space="preserve">12. </w:t>
      </w:r>
      <w:r>
        <w:rPr>
          <w:rFonts w:ascii="Times New Roman" w:hAnsi="Times New Roman"/>
          <w:b/>
          <w:i w:val="0"/>
          <w:sz w:val="24"/>
          <w:u w:val="none"/>
        </w:rPr>
        <w:t>AWARD</w:t>
      </w:r>
      <w:r>
        <w:rPr>
          <w:rFonts w:ascii="Times New Roman" w:hAnsi="Times New Roman"/>
          <w:b w:val="0"/>
          <w:i w:val="0"/>
          <w:sz w:val="24"/>
          <w:u w:val="none"/>
        </w:rPr>
        <w:t xml:space="preserve"> costs of suit, including filing fees, service costs, and litigation expenses, pursuant to 42 U.S.C. § 1988, Fed. R. Civ. P. 54(d), and 28 U.S.C. § 1920;</w:t>
      </w:r>
    </w:p>
    <w:p>
      <w:pPr>
        <w:spacing w:after="0" w:before="0" w:line="480" w:lineRule="auto"/>
        <w:ind w:firstLine="720"/>
        <w:jc w:val="left"/>
      </w:pPr>
      <w:r>
        <w:rPr>
          <w:rFonts w:ascii="Times New Roman" w:hAnsi="Times New Roman"/>
          <w:b/>
          <w:i w:val="0"/>
          <w:sz w:val="24"/>
          <w:u w:val="none"/>
        </w:rPr>
        <w:t>D. Other Relief:</w:t>
      </w:r>
    </w:p>
    <w:p>
      <w:pPr>
        <w:spacing w:after="0" w:before="0" w:line="480" w:lineRule="auto"/>
        <w:ind w:firstLine="720"/>
        <w:jc w:val="left"/>
      </w:pPr>
      <w:r>
        <w:rPr>
          <w:rFonts w:ascii="Times New Roman" w:hAnsi="Times New Roman"/>
          <w:b/>
          <w:i w:val="0"/>
          <w:sz w:val="24"/>
          <w:u w:val="none"/>
        </w:rPr>
        <w:t xml:space="preserve">13. </w:t>
      </w:r>
      <w:r>
        <w:rPr>
          <w:rFonts w:ascii="Times New Roman" w:hAnsi="Times New Roman"/>
          <w:b/>
          <w:i w:val="0"/>
          <w:sz w:val="24"/>
          <w:u w:val="none"/>
        </w:rPr>
        <w:t>GRANT</w:t>
      </w:r>
      <w:r>
        <w:rPr>
          <w:rFonts w:ascii="Times New Roman" w:hAnsi="Times New Roman"/>
          <w:b w:val="0"/>
          <w:i w:val="0"/>
          <w:sz w:val="24"/>
          <w:u w:val="none"/>
        </w:rPr>
        <w:t xml:space="preserve"> such other and further relief as this Court deems just and proper.</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VERIFICATION</w:t>
      </w:r>
    </w:p>
    <w:p>
      <w:pPr>
        <w:spacing w:after="0" w:before="0" w:line="480" w:lineRule="auto"/>
        <w:ind w:firstLine="720"/>
        <w:jc w:val="left"/>
      </w:pPr>
      <w:r>
        <w:rPr>
          <w:rFonts w:ascii="Times New Roman" w:hAnsi="Times New Roman"/>
          <w:b w:val="0"/>
          <w:i w:val="0"/>
          <w:sz w:val="24"/>
          <w:u w:val="none"/>
        </w:rPr>
        <w:t>I, Andrew J. Pigors, being duly sworn, state that I am the Plaintiff in this action; that I have read the foregoing Complaint; and that the statements of fact contained therein are true to the best of my knowledge, information, and belief.</w:t>
      </w:r>
    </w:p>
    <w:p>
      <w:pPr>
        <w:spacing w:after="0" w:before="0" w:line="480" w:lineRule="auto"/>
        <w:ind w:firstLine="720"/>
        <w:jc w:val="left"/>
      </w:pPr>
      <w:r>
        <w:rPr>
          <w:rFonts w:ascii="Times New Roman" w:hAnsi="Times New Roman"/>
          <w:b w:val="0"/>
          <w:i w:val="0"/>
          <w:sz w:val="24"/>
          <w:u w:val="single"/>
        </w:rPr>
        <w:t>____________________________</w:t>
      </w:r>
    </w:p>
    <w:p>
      <w:pPr>
        <w:spacing w:after="0" w:before="0" w:line="480" w:lineRule="auto"/>
        <w:ind w:firstLine="720"/>
        <w:jc w:val="left"/>
      </w:pPr>
      <w:r>
        <w:rPr>
          <w:rFonts w:ascii="Times New Roman" w:hAnsi="Times New Roman"/>
          <w:b w:val="0"/>
          <w:i w:val="0"/>
          <w:sz w:val="24"/>
          <w:u w:val="none"/>
        </w:rPr>
        <w:t>Andrew J. Pigors, Plaintiff Pro Se</w:t>
      </w:r>
    </w:p>
    <w:p>
      <w:pPr>
        <w:spacing w:after="0" w:before="0" w:line="480" w:lineRule="auto"/>
        <w:ind w:firstLine="720"/>
        <w:jc w:val="left"/>
      </w:pPr>
      <w:r>
        <w:rPr>
          <w:rFonts w:ascii="Times New Roman" w:hAnsi="Times New Roman"/>
          <w:b w:val="0"/>
          <w:i w:val="0"/>
          <w:sz w:val="24"/>
          <w:u w:val="none"/>
        </w:rPr>
        <w:t>Date: _______________</w:t>
      </w:r>
    </w:p>
    <w:p>
      <w:pPr>
        <w:spacing w:after="0" w:before="0" w:line="480" w:lineRule="auto"/>
        <w:ind w:firstLine="720"/>
        <w:jc w:val="left"/>
      </w:pPr>
      <w:r>
        <w:rPr>
          <w:rFonts w:ascii="Times New Roman" w:hAnsi="Times New Roman"/>
          <w:b w:val="0"/>
          <w:i w:val="0"/>
          <w:sz w:val="24"/>
          <w:u w:val="none"/>
        </w:rPr>
        <w:t>Subscribed and sworn to before me this ___</w:t>
      </w:r>
      <w:r>
        <w:rPr>
          <w:rFonts w:ascii="Times New Roman" w:hAnsi="Times New Roman"/>
          <w:b w:val="0"/>
          <w:i w:val="0"/>
          <w:sz w:val="24"/>
          <w:u w:val="single"/>
        </w:rPr>
        <w:t xml:space="preserve"> day of </w:t>
      </w:r>
      <w:r>
        <w:rPr>
          <w:rFonts w:ascii="Times New Roman" w:hAnsi="Times New Roman"/>
          <w:b w:val="0"/>
          <w:i w:val="0"/>
          <w:sz w:val="24"/>
          <w:u w:val="none"/>
        </w:rPr>
        <w:t>___________, 2026.</w:t>
      </w:r>
    </w:p>
    <w:p>
      <w:pPr>
        <w:spacing w:after="0" w:before="0" w:line="480" w:lineRule="auto"/>
        <w:ind w:firstLine="720"/>
        <w:jc w:val="left"/>
      </w:pPr>
      <w:r>
        <w:rPr>
          <w:rFonts w:ascii="Times New Roman" w:hAnsi="Times New Roman"/>
          <w:b w:val="0"/>
          <w:i w:val="0"/>
          <w:sz w:val="24"/>
          <w:u w:val="single"/>
        </w:rPr>
        <w:t>____________________________</w:t>
      </w:r>
    </w:p>
    <w:p>
      <w:pPr>
        <w:spacing w:after="0" w:before="0" w:line="480" w:lineRule="auto"/>
        <w:ind w:firstLine="720"/>
        <w:jc w:val="left"/>
      </w:pPr>
      <w:r>
        <w:rPr>
          <w:rFonts w:ascii="Times New Roman" w:hAnsi="Times New Roman"/>
          <w:b w:val="0"/>
          <w:i w:val="0"/>
          <w:sz w:val="24"/>
          <w:u w:val="none"/>
        </w:rPr>
        <w:t>Notary Public, State of Michigan</w:t>
      </w:r>
    </w:p>
    <w:p>
      <w:pPr>
        <w:spacing w:after="0" w:before="0" w:line="480" w:lineRule="auto"/>
        <w:ind w:firstLine="720"/>
        <w:jc w:val="left"/>
      </w:pPr>
      <w:r>
        <w:rPr>
          <w:rFonts w:ascii="Times New Roman" w:hAnsi="Times New Roman"/>
          <w:b w:val="0"/>
          <w:i w:val="0"/>
          <w:sz w:val="24"/>
          <w:u w:val="none"/>
        </w:rPr>
        <w:t>My commission expires: ___________</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CERTIFICATE OF SERVICE</w:t>
      </w:r>
    </w:p>
    <w:p>
      <w:pPr>
        <w:spacing w:after="0" w:before="0" w:line="480" w:lineRule="auto"/>
        <w:ind w:firstLine="720"/>
        <w:jc w:val="left"/>
      </w:pPr>
      <w:r>
        <w:rPr>
          <w:rFonts w:ascii="Times New Roman" w:hAnsi="Times New Roman"/>
          <w:b w:val="0"/>
          <w:i w:val="0"/>
          <w:sz w:val="24"/>
          <w:u w:val="none"/>
        </w:rPr>
        <w:t>I hereby certify that on _____________, 2026, I served a true and correct copy of the foregoing CIVIL RIGHTS COMPLAINT UNDER 42 U.S.C. § 1983 upon:</w:t>
      </w:r>
    </w:p>
    <w:p>
      <w:pPr>
        <w:spacing w:after="0" w:before="0" w:line="480" w:lineRule="auto"/>
        <w:ind w:firstLine="720"/>
        <w:jc w:val="left"/>
      </w:pPr>
      <w:r>
        <w:rPr>
          <w:rFonts w:ascii="Times New Roman" w:hAnsi="Times New Roman"/>
          <w:b/>
          <w:i w:val="0"/>
          <w:sz w:val="24"/>
          <w:u w:val="none"/>
        </w:rPr>
        <w:t>Hon. Jenny L. McNeill</w:t>
      </w:r>
    </w:p>
    <w:p>
      <w:pPr>
        <w:spacing w:after="0" w:before="0" w:line="480" w:lineRule="auto"/>
        <w:ind w:firstLine="720"/>
        <w:jc w:val="left"/>
      </w:pPr>
      <w:r>
        <w:rPr>
          <w:rFonts w:ascii="Times New Roman" w:hAnsi="Times New Roman"/>
          <w:b w:val="0"/>
          <w:i w:val="0"/>
          <w:sz w:val="24"/>
          <w:u w:val="none"/>
        </w:rPr>
        <w:t>14th Circuit Court</w:t>
      </w:r>
    </w:p>
    <w:p>
      <w:pPr>
        <w:spacing w:after="0" w:before="0" w:line="480" w:lineRule="auto"/>
        <w:ind w:firstLine="720"/>
        <w:jc w:val="left"/>
      </w:pPr>
      <w:r>
        <w:rPr>
          <w:rFonts w:ascii="Times New Roman" w:hAnsi="Times New Roman"/>
          <w:b w:val="0"/>
          <w:i w:val="0"/>
          <w:sz w:val="24"/>
          <w:u w:val="none"/>
        </w:rPr>
        <w:t>990 Terrace Street</w:t>
      </w:r>
    </w:p>
    <w:p>
      <w:pPr>
        <w:spacing w:after="0" w:before="0" w:line="480" w:lineRule="auto"/>
        <w:ind w:firstLine="720"/>
        <w:jc w:val="left"/>
      </w:pPr>
      <w:r>
        <w:rPr>
          <w:rFonts w:ascii="Times New Roman" w:hAnsi="Times New Roman"/>
          <w:b w:val="0"/>
          <w:i w:val="0"/>
          <w:sz w:val="24"/>
          <w:u w:val="none"/>
        </w:rPr>
        <w:t>Muskegon, MI 49442</w:t>
      </w:r>
    </w:p>
    <w:p>
      <w:pPr>
        <w:spacing w:after="0" w:before="0" w:line="480" w:lineRule="auto"/>
        <w:ind w:firstLine="720"/>
        <w:jc w:val="left"/>
      </w:pPr>
      <w:r>
        <w:rPr>
          <w:rFonts w:ascii="Times New Roman" w:hAnsi="Times New Roman"/>
          <w:b/>
          <w:i w:val="0"/>
          <w:sz w:val="24"/>
          <w:u w:val="none"/>
        </w:rPr>
        <w:t>Tiffany (Emily) Watson</w:t>
      </w:r>
    </w:p>
    <w:p>
      <w:pPr>
        <w:spacing w:after="0" w:before="0" w:line="480" w:lineRule="auto"/>
        <w:ind w:firstLine="720"/>
        <w:jc w:val="left"/>
      </w:pPr>
      <w:r>
        <w:rPr>
          <w:rFonts w:ascii="Times New Roman" w:hAnsi="Times New Roman"/>
          <w:b w:val="0"/>
          <w:i w:val="0"/>
          <w:sz w:val="24"/>
          <w:u w:val="none"/>
        </w:rPr>
        <w:t>2160 Garland Drive</w:t>
      </w:r>
    </w:p>
    <w:p>
      <w:pPr>
        <w:spacing w:after="0" w:before="0" w:line="480" w:lineRule="auto"/>
        <w:ind w:firstLine="720"/>
        <w:jc w:val="left"/>
      </w:pPr>
      <w:r>
        <w:rPr>
          <w:rFonts w:ascii="Times New Roman" w:hAnsi="Times New Roman"/>
          <w:b w:val="0"/>
          <w:i w:val="0"/>
          <w:sz w:val="24"/>
          <w:u w:val="none"/>
        </w:rPr>
        <w:t>Norton Shores, MI 49441</w:t>
      </w:r>
    </w:p>
    <w:p>
      <w:pPr>
        <w:spacing w:after="0" w:before="0" w:line="480" w:lineRule="auto"/>
        <w:ind w:firstLine="720"/>
        <w:jc w:val="left"/>
      </w:pPr>
      <w:r>
        <w:rPr>
          <w:rFonts w:ascii="Times New Roman" w:hAnsi="Times New Roman"/>
          <w:b/>
          <w:i w:val="0"/>
          <w:sz w:val="24"/>
          <w:u w:val="none"/>
        </w:rPr>
        <w:t>Ron Berry, Esq.</w:t>
      </w:r>
    </w:p>
    <w:p>
      <w:pPr>
        <w:spacing w:after="0" w:before="0" w:line="480" w:lineRule="auto"/>
        <w:ind w:firstLine="720"/>
        <w:jc w:val="left"/>
      </w:pPr>
      <w:r>
        <w:rPr>
          <w:rFonts w:ascii="Times New Roman" w:hAnsi="Times New Roman"/>
          <w:b w:val="0"/>
          <w:i w:val="0"/>
          <w:sz w:val="24"/>
          <w:u w:val="none"/>
        </w:rPr>
        <w:t>Address Unknown — Service to be effectuated upon discovery</w:t>
      </w:r>
    </w:p>
    <w:p>
      <w:pPr>
        <w:spacing w:after="0" w:before="0" w:line="480" w:lineRule="auto"/>
        <w:ind w:firstLine="720"/>
        <w:jc w:val="left"/>
      </w:pPr>
      <w:r>
        <w:rPr>
          <w:rFonts w:ascii="Times New Roman" w:hAnsi="Times New Roman"/>
          <w:b w:val="0"/>
          <w:i w:val="0"/>
          <w:sz w:val="24"/>
          <w:u w:val="none"/>
        </w:rPr>
        <w:t>Muskegon County, MI</w:t>
      </w:r>
    </w:p>
    <w:p>
      <w:pPr>
        <w:spacing w:after="0" w:before="0" w:line="480" w:lineRule="auto"/>
        <w:ind w:firstLine="720"/>
        <w:jc w:val="left"/>
      </w:pPr>
      <w:r>
        <w:rPr>
          <w:rFonts w:ascii="Times New Roman" w:hAnsi="Times New Roman"/>
          <w:b w:val="0"/>
          <w:i w:val="0"/>
          <w:sz w:val="24"/>
          <w:u w:val="none"/>
        </w:rPr>
        <w:t>by ☐ U.S. First Class Mail, postage prepaid</w:t>
      </w:r>
    </w:p>
    <w:p>
      <w:pPr>
        <w:spacing w:after="0" w:before="0" w:line="480" w:lineRule="auto"/>
        <w:ind w:firstLine="720"/>
        <w:jc w:val="left"/>
      </w:pPr>
      <w:r>
        <w:rPr>
          <w:rFonts w:ascii="Times New Roman" w:hAnsi="Times New Roman"/>
          <w:b w:val="0"/>
          <w:i w:val="0"/>
          <w:sz w:val="24"/>
          <w:u w:val="none"/>
        </w:rPr>
        <w:t>☐ Personal service pursuant to FRCP 4</w:t>
      </w:r>
    </w:p>
    <w:p>
      <w:pPr>
        <w:spacing w:after="0" w:before="0" w:line="480" w:lineRule="auto"/>
        <w:ind w:firstLine="720"/>
        <w:jc w:val="left"/>
      </w:pPr>
      <w:r>
        <w:rPr>
          <w:rFonts w:ascii="Times New Roman" w:hAnsi="Times New Roman"/>
          <w:b w:val="0"/>
          <w:i w:val="0"/>
          <w:sz w:val="24"/>
          <w:u w:val="none"/>
        </w:rPr>
        <w:t>☐ Certified mail, return receipt requested</w:t>
      </w:r>
    </w:p>
    <w:p>
      <w:pPr>
        <w:spacing w:after="0" w:before="0" w:line="480" w:lineRule="auto"/>
        <w:ind w:firstLine="720"/>
        <w:jc w:val="left"/>
      </w:pPr>
      <w:r>
        <w:rPr>
          <w:rFonts w:ascii="Times New Roman" w:hAnsi="Times New Roman"/>
          <w:b w:val="0"/>
          <w:i w:val="0"/>
          <w:sz w:val="24"/>
          <w:u w:val="none"/>
        </w:rPr>
        <w:t>/s/ Andrew J. Pigors</w:t>
      </w:r>
    </w:p>
    <w:p>
      <w:pPr>
        <w:spacing w:after="0" w:before="0" w:line="480" w:lineRule="auto"/>
        <w:ind w:firstLine="720"/>
        <w:jc w:val="left"/>
      </w:pPr>
      <w:r>
        <w:rPr>
          <w:rFonts w:ascii="Times New Roman" w:hAnsi="Times New Roman"/>
          <w:b w:val="0"/>
          <w:i w:val="0"/>
          <w:sz w:val="24"/>
          <w:u w:val="none"/>
        </w:rPr>
        <w:t>Andrew J. Pigors, Plaintiff Pro Se</w:t>
      </w:r>
    </w:p>
    <w:p>
      <w:pPr>
        <w:spacing w:after="0" w:before="0" w:line="480" w:lineRule="auto"/>
        <w:ind w:firstLine="720"/>
        <w:jc w:val="left"/>
      </w:pPr>
      <w:r>
        <w:rPr>
          <w:rFonts w:ascii="Times New Roman" w:hAnsi="Times New Roman"/>
          <w:b w:val="0"/>
          <w:i w:val="0"/>
          <w:sz w:val="24"/>
          <w:u w:val="none"/>
        </w:rPr>
        <w:t>1977 Whitehall Road, Lot 17</w:t>
      </w:r>
    </w:p>
    <w:p>
      <w:pPr>
        <w:spacing w:after="0" w:before="0" w:line="480" w:lineRule="auto"/>
        <w:ind w:firstLine="720"/>
        <w:jc w:val="left"/>
      </w:pPr>
      <w:r>
        <w:rPr>
          <w:rFonts w:ascii="Times New Roman" w:hAnsi="Times New Roman"/>
          <w:b w:val="0"/>
          <w:i w:val="0"/>
          <w:sz w:val="24"/>
          <w:u w:val="none"/>
        </w:rPr>
        <w:t>Muskegon, MI 49445</w:t>
      </w:r>
    </w:p>
    <w:p>
      <w:pPr>
        <w:spacing w:after="0" w:before="0" w:line="480" w:lineRule="auto"/>
        <w:ind w:firstLine="720"/>
        <w:jc w:val="left"/>
      </w:pPr>
      <w:r>
        <w:rPr>
          <w:rFonts w:ascii="Times New Roman" w:hAnsi="Times New Roman"/>
          <w:b w:val="0"/>
          <w:i w:val="0"/>
          <w:sz w:val="24"/>
          <w:u w:val="none"/>
        </w:rPr>
        <w:t>(231) 903-5690</w:t>
      </w:r>
    </w:p>
    <w:p>
      <w:pPr>
        <w:spacing w:after="0" w:before="0" w:line="480" w:lineRule="auto"/>
        <w:ind w:firstLine="720"/>
        <w:jc w:val="left"/>
      </w:pPr>
      <w:r>
        <w:rPr>
          <w:rFonts w:ascii="Times New Roman" w:hAnsi="Times New Roman"/>
          <w:b w:val="0"/>
          <w:i w:val="0"/>
          <w:sz w:val="24"/>
          <w:u w:val="none"/>
        </w:rPr>
        <w:t>andrewpigors@gmail.com</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APPENDIX: AUTHORITY TABLE</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i w:val="0"/>
                <w:sz w:val="20"/>
                <w:u w:val="none"/>
              </w:rPr>
              <w:t>Authority</w:t>
            </w:r>
          </w:p>
        </w:tc>
        <w:tc>
          <w:tcPr>
            <w:tcW w:type="dxa" w:w="4680"/>
          </w:tcPr>
          <w:p>
            <w:pPr>
              <w:spacing w:line="240" w:lineRule="auto"/>
            </w:pPr>
            <w:r/>
            <w:r>
              <w:rPr>
                <w:rFonts w:ascii="Times New Roman" w:hAnsi="Times New Roman"/>
                <w:b/>
                <w:i w:val="0"/>
                <w:sz w:val="20"/>
                <w:u w:val="none"/>
              </w:rPr>
              <w:t>Proposition</w:t>
            </w:r>
          </w:p>
        </w:tc>
      </w:tr>
      <w:tr>
        <w:tc>
          <w:tcPr>
            <w:tcW w:type="dxa" w:w="4680"/>
          </w:tcPr>
          <w:p>
            <w:pPr>
              <w:spacing w:line="240" w:lineRule="auto"/>
            </w:pPr>
            <w:r/>
            <w:r>
              <w:rPr>
                <w:rFonts w:ascii="Times New Roman" w:hAnsi="Times New Roman"/>
                <w:b w:val="0"/>
                <w:i w:val="0"/>
                <w:sz w:val="20"/>
                <w:u w:val="none"/>
              </w:rPr>
              <w:t>Troxel v. Granville, 530 U.S. 57 (2000)</w:t>
            </w:r>
          </w:p>
        </w:tc>
        <w:tc>
          <w:tcPr>
            <w:tcW w:type="dxa" w:w="4680"/>
          </w:tcPr>
          <w:p>
            <w:pPr>
              <w:spacing w:line="240" w:lineRule="auto"/>
            </w:pPr>
            <w:r/>
            <w:r>
              <w:rPr>
                <w:rFonts w:ascii="Times New Roman" w:hAnsi="Times New Roman"/>
                <w:b w:val="0"/>
                <w:i w:val="0"/>
                <w:sz w:val="20"/>
                <w:u w:val="none"/>
              </w:rPr>
              <w:t>Parental liberty = oldest fundamental right</w:t>
            </w:r>
          </w:p>
        </w:tc>
      </w:tr>
      <w:tr>
        <w:tc>
          <w:tcPr>
            <w:tcW w:type="dxa" w:w="4680"/>
          </w:tcPr>
          <w:p>
            <w:pPr>
              <w:spacing w:line="240" w:lineRule="auto"/>
            </w:pPr>
            <w:r/>
            <w:r>
              <w:rPr>
                <w:rFonts w:ascii="Times New Roman" w:hAnsi="Times New Roman"/>
                <w:b w:val="0"/>
                <w:i w:val="0"/>
                <w:sz w:val="20"/>
                <w:u w:val="none"/>
              </w:rPr>
              <w:t>Santosky v. Kramer, 455 U.S. 745 (1982)</w:t>
            </w:r>
          </w:p>
        </w:tc>
        <w:tc>
          <w:tcPr>
            <w:tcW w:type="dxa" w:w="4680"/>
          </w:tcPr>
          <w:p>
            <w:pPr>
              <w:spacing w:line="240" w:lineRule="auto"/>
            </w:pPr>
            <w:r/>
            <w:r>
              <w:rPr>
                <w:rFonts w:ascii="Times New Roman" w:hAnsi="Times New Roman"/>
                <w:b w:val="0"/>
                <w:i w:val="0"/>
                <w:sz w:val="20"/>
                <w:u w:val="none"/>
              </w:rPr>
              <w:t>Clear and convincing evidence for termination</w:t>
            </w:r>
          </w:p>
        </w:tc>
      </w:tr>
      <w:tr>
        <w:tc>
          <w:tcPr>
            <w:tcW w:type="dxa" w:w="4680"/>
          </w:tcPr>
          <w:p>
            <w:pPr>
              <w:spacing w:line="240" w:lineRule="auto"/>
            </w:pPr>
            <w:r/>
            <w:r>
              <w:rPr>
                <w:rFonts w:ascii="Times New Roman" w:hAnsi="Times New Roman"/>
                <w:b w:val="0"/>
                <w:i w:val="0"/>
                <w:sz w:val="20"/>
                <w:u w:val="none"/>
              </w:rPr>
              <w:t>Stanley v. Illinois, 405 U.S. 645 (1972)</w:t>
            </w:r>
          </w:p>
        </w:tc>
        <w:tc>
          <w:tcPr>
            <w:tcW w:type="dxa" w:w="4680"/>
          </w:tcPr>
          <w:p>
            <w:pPr>
              <w:spacing w:line="240" w:lineRule="auto"/>
            </w:pPr>
            <w:r/>
            <w:r>
              <w:rPr>
                <w:rFonts w:ascii="Times New Roman" w:hAnsi="Times New Roman"/>
                <w:b w:val="0"/>
                <w:i w:val="0"/>
                <w:sz w:val="20"/>
                <w:u w:val="none"/>
              </w:rPr>
              <w:t>Unwed fathers have protected liberty interest</w:t>
            </w:r>
          </w:p>
        </w:tc>
      </w:tr>
      <w:tr>
        <w:tc>
          <w:tcPr>
            <w:tcW w:type="dxa" w:w="4680"/>
          </w:tcPr>
          <w:p>
            <w:pPr>
              <w:spacing w:line="240" w:lineRule="auto"/>
            </w:pPr>
            <w:r/>
            <w:r>
              <w:rPr>
                <w:rFonts w:ascii="Times New Roman" w:hAnsi="Times New Roman"/>
                <w:b w:val="0"/>
                <w:i w:val="0"/>
                <w:sz w:val="20"/>
                <w:u w:val="none"/>
              </w:rPr>
              <w:t>Washington v. Glucksberg, 521 U.S. 702 (1997)</w:t>
            </w:r>
          </w:p>
        </w:tc>
        <w:tc>
          <w:tcPr>
            <w:tcW w:type="dxa" w:w="4680"/>
          </w:tcPr>
          <w:p>
            <w:pPr>
              <w:spacing w:line="240" w:lineRule="auto"/>
            </w:pPr>
            <w:r/>
            <w:r>
              <w:rPr>
                <w:rFonts w:ascii="Times New Roman" w:hAnsi="Times New Roman"/>
                <w:b w:val="0"/>
                <w:i w:val="0"/>
                <w:sz w:val="20"/>
                <w:u w:val="none"/>
              </w:rPr>
              <w:t>Fundamental rights require strict scrutiny</w:t>
            </w:r>
          </w:p>
        </w:tc>
      </w:tr>
      <w:tr>
        <w:tc>
          <w:tcPr>
            <w:tcW w:type="dxa" w:w="4680"/>
          </w:tcPr>
          <w:p>
            <w:pPr>
              <w:spacing w:line="240" w:lineRule="auto"/>
            </w:pPr>
            <w:r/>
            <w:r>
              <w:rPr>
                <w:rFonts w:ascii="Times New Roman" w:hAnsi="Times New Roman"/>
                <w:b w:val="0"/>
                <w:i w:val="0"/>
                <w:sz w:val="20"/>
                <w:u w:val="none"/>
              </w:rPr>
              <w:t>Mathews v. Eldridge, 424 U.S. 319 (1976)</w:t>
            </w:r>
          </w:p>
        </w:tc>
        <w:tc>
          <w:tcPr>
            <w:tcW w:type="dxa" w:w="4680"/>
          </w:tcPr>
          <w:p>
            <w:pPr>
              <w:spacing w:line="240" w:lineRule="auto"/>
            </w:pPr>
            <w:r/>
            <w:r>
              <w:rPr>
                <w:rFonts w:ascii="Times New Roman" w:hAnsi="Times New Roman"/>
                <w:b w:val="0"/>
                <w:i w:val="0"/>
                <w:sz w:val="20"/>
                <w:u w:val="none"/>
              </w:rPr>
              <w:t>Three-part balancing test for procedural due process</w:t>
            </w:r>
          </w:p>
        </w:tc>
      </w:tr>
      <w:tr>
        <w:tc>
          <w:tcPr>
            <w:tcW w:type="dxa" w:w="4680"/>
          </w:tcPr>
          <w:p>
            <w:pPr>
              <w:spacing w:line="240" w:lineRule="auto"/>
            </w:pPr>
            <w:r/>
            <w:r>
              <w:rPr>
                <w:rFonts w:ascii="Times New Roman" w:hAnsi="Times New Roman"/>
                <w:b w:val="0"/>
                <w:i w:val="0"/>
                <w:sz w:val="20"/>
                <w:u w:val="none"/>
              </w:rPr>
              <w:t>Dennis v. Sparks, 449 U.S. 24 (1980)</w:t>
            </w:r>
          </w:p>
        </w:tc>
        <w:tc>
          <w:tcPr>
            <w:tcW w:type="dxa" w:w="4680"/>
          </w:tcPr>
          <w:p>
            <w:pPr>
              <w:spacing w:line="240" w:lineRule="auto"/>
            </w:pPr>
            <w:r/>
            <w:r>
              <w:rPr>
                <w:rFonts w:ascii="Times New Roman" w:hAnsi="Times New Roman"/>
                <w:b w:val="0"/>
                <w:i w:val="0"/>
                <w:sz w:val="20"/>
                <w:u w:val="none"/>
              </w:rPr>
              <w:t>Private co-conspirators of judge NOT immune</w:t>
            </w:r>
          </w:p>
        </w:tc>
      </w:tr>
      <w:tr>
        <w:tc>
          <w:tcPr>
            <w:tcW w:type="dxa" w:w="4680"/>
          </w:tcPr>
          <w:p>
            <w:pPr>
              <w:spacing w:line="240" w:lineRule="auto"/>
            </w:pPr>
            <w:r/>
            <w:r>
              <w:rPr>
                <w:rFonts w:ascii="Times New Roman" w:hAnsi="Times New Roman"/>
                <w:b w:val="0"/>
                <w:i w:val="0"/>
                <w:sz w:val="20"/>
                <w:u w:val="none"/>
              </w:rPr>
              <w:t>Mireles v. Waco, 502 U.S. 9 (1991)</w:t>
            </w:r>
          </w:p>
        </w:tc>
        <w:tc>
          <w:tcPr>
            <w:tcW w:type="dxa" w:w="4680"/>
          </w:tcPr>
          <w:p>
            <w:pPr>
              <w:spacing w:line="240" w:lineRule="auto"/>
            </w:pPr>
            <w:r/>
            <w:r>
              <w:rPr>
                <w:rFonts w:ascii="Times New Roman" w:hAnsi="Times New Roman"/>
                <w:b w:val="0"/>
                <w:i w:val="0"/>
                <w:sz w:val="20"/>
                <w:u w:val="none"/>
              </w:rPr>
              <w:t>No immunity for acts in complete absence of jurisdiction</w:t>
            </w:r>
          </w:p>
        </w:tc>
      </w:tr>
      <w:tr>
        <w:tc>
          <w:tcPr>
            <w:tcW w:type="dxa" w:w="4680"/>
          </w:tcPr>
          <w:p>
            <w:pPr>
              <w:spacing w:line="240" w:lineRule="auto"/>
            </w:pPr>
            <w:r/>
            <w:r>
              <w:rPr>
                <w:rFonts w:ascii="Times New Roman" w:hAnsi="Times New Roman"/>
                <w:b w:val="0"/>
                <w:i w:val="0"/>
                <w:sz w:val="20"/>
                <w:u w:val="none"/>
              </w:rPr>
              <w:t>Stump v. Sparkman, 435 U.S. 349 (1978)</w:t>
            </w:r>
          </w:p>
        </w:tc>
        <w:tc>
          <w:tcPr>
            <w:tcW w:type="dxa" w:w="4680"/>
          </w:tcPr>
          <w:p>
            <w:pPr>
              <w:spacing w:line="240" w:lineRule="auto"/>
            </w:pPr>
            <w:r/>
            <w:r>
              <w:rPr>
                <w:rFonts w:ascii="Times New Roman" w:hAnsi="Times New Roman"/>
                <w:b w:val="0"/>
                <w:i w:val="0"/>
                <w:sz w:val="20"/>
                <w:u w:val="none"/>
              </w:rPr>
              <w:t>Judicial immunity framework — jurisdictional limit</w:t>
            </w:r>
          </w:p>
        </w:tc>
      </w:tr>
      <w:tr>
        <w:tc>
          <w:tcPr>
            <w:tcW w:type="dxa" w:w="4680"/>
          </w:tcPr>
          <w:p>
            <w:pPr>
              <w:spacing w:line="240" w:lineRule="auto"/>
            </w:pPr>
            <w:r/>
            <w:r>
              <w:rPr>
                <w:rFonts w:ascii="Times New Roman" w:hAnsi="Times New Roman"/>
                <w:b w:val="0"/>
                <w:i w:val="0"/>
                <w:sz w:val="20"/>
                <w:u w:val="none"/>
              </w:rPr>
              <w:t>Forrester v. White, 484 U.S. 219 (1988)</w:t>
            </w:r>
          </w:p>
        </w:tc>
        <w:tc>
          <w:tcPr>
            <w:tcW w:type="dxa" w:w="4680"/>
          </w:tcPr>
          <w:p>
            <w:pPr>
              <w:spacing w:line="240" w:lineRule="auto"/>
            </w:pPr>
            <w:r/>
            <w:r>
              <w:rPr>
                <w:rFonts w:ascii="Times New Roman" w:hAnsi="Times New Roman"/>
                <w:b w:val="0"/>
                <w:i w:val="0"/>
                <w:sz w:val="20"/>
                <w:u w:val="none"/>
              </w:rPr>
              <w:t>No immunity for non-judicial/administrative acts</w:t>
            </w:r>
          </w:p>
        </w:tc>
      </w:tr>
      <w:tr>
        <w:tc>
          <w:tcPr>
            <w:tcW w:type="dxa" w:w="4680"/>
          </w:tcPr>
          <w:p>
            <w:pPr>
              <w:spacing w:line="240" w:lineRule="auto"/>
            </w:pPr>
            <w:r/>
            <w:r>
              <w:rPr>
                <w:rFonts w:ascii="Times New Roman" w:hAnsi="Times New Roman"/>
                <w:b w:val="0"/>
                <w:i w:val="0"/>
                <w:sz w:val="20"/>
                <w:u w:val="none"/>
              </w:rPr>
              <w:t>Pulliam v. Allen, 466 U.S. 522 (1984)</w:t>
            </w:r>
          </w:p>
        </w:tc>
        <w:tc>
          <w:tcPr>
            <w:tcW w:type="dxa" w:w="4680"/>
          </w:tcPr>
          <w:p>
            <w:pPr>
              <w:spacing w:line="240" w:lineRule="auto"/>
            </w:pPr>
            <w:r/>
            <w:r>
              <w:rPr>
                <w:rFonts w:ascii="Times New Roman" w:hAnsi="Times New Roman"/>
                <w:b w:val="0"/>
                <w:i w:val="0"/>
                <w:sz w:val="20"/>
                <w:u w:val="none"/>
              </w:rPr>
              <w:t>Injunctive relief available against judges</w:t>
            </w:r>
          </w:p>
        </w:tc>
      </w:tr>
      <w:tr>
        <w:tc>
          <w:tcPr>
            <w:tcW w:type="dxa" w:w="4680"/>
          </w:tcPr>
          <w:p>
            <w:pPr>
              <w:spacing w:line="240" w:lineRule="auto"/>
            </w:pPr>
            <w:r/>
            <w:r>
              <w:rPr>
                <w:rFonts w:ascii="Times New Roman" w:hAnsi="Times New Roman"/>
                <w:b w:val="0"/>
                <w:i w:val="0"/>
                <w:sz w:val="20"/>
                <w:u w:val="none"/>
              </w:rPr>
              <w:t>Boddie v. Connecticut, 401 U.S. 371 (1971)</w:t>
            </w:r>
          </w:p>
        </w:tc>
        <w:tc>
          <w:tcPr>
            <w:tcW w:type="dxa" w:w="4680"/>
          </w:tcPr>
          <w:p>
            <w:pPr>
              <w:spacing w:line="240" w:lineRule="auto"/>
            </w:pPr>
            <w:r/>
            <w:r>
              <w:rPr>
                <w:rFonts w:ascii="Times New Roman" w:hAnsi="Times New Roman"/>
                <w:b w:val="0"/>
                <w:i w:val="0"/>
                <w:sz w:val="20"/>
                <w:u w:val="none"/>
              </w:rPr>
              <w:t>Financial barriers violate due process when fundamental rights at stake</w:t>
            </w:r>
          </w:p>
        </w:tc>
      </w:tr>
      <w:tr>
        <w:tc>
          <w:tcPr>
            <w:tcW w:type="dxa" w:w="4680"/>
          </w:tcPr>
          <w:p>
            <w:pPr>
              <w:spacing w:line="240" w:lineRule="auto"/>
            </w:pPr>
            <w:r/>
            <w:r>
              <w:rPr>
                <w:rFonts w:ascii="Times New Roman" w:hAnsi="Times New Roman"/>
                <w:b w:val="0"/>
                <w:i w:val="0"/>
                <w:sz w:val="20"/>
                <w:u w:val="none"/>
              </w:rPr>
              <w:t>Bounds v. Smith, 430 U.S. 817 (1977)</w:t>
            </w:r>
          </w:p>
        </w:tc>
        <w:tc>
          <w:tcPr>
            <w:tcW w:type="dxa" w:w="4680"/>
          </w:tcPr>
          <w:p>
            <w:pPr>
              <w:spacing w:line="240" w:lineRule="auto"/>
            </w:pPr>
            <w:r/>
            <w:r>
              <w:rPr>
                <w:rFonts w:ascii="Times New Roman" w:hAnsi="Times New Roman"/>
                <w:b w:val="0"/>
                <w:i w:val="0"/>
                <w:sz w:val="20"/>
                <w:u w:val="none"/>
              </w:rPr>
              <w:t>Meaningful access to courts is constitutional right</w:t>
            </w:r>
          </w:p>
        </w:tc>
      </w:tr>
      <w:tr>
        <w:tc>
          <w:tcPr>
            <w:tcW w:type="dxa" w:w="4680"/>
          </w:tcPr>
          <w:p>
            <w:pPr>
              <w:spacing w:line="240" w:lineRule="auto"/>
            </w:pPr>
            <w:r/>
            <w:r>
              <w:rPr>
                <w:rFonts w:ascii="Times New Roman" w:hAnsi="Times New Roman"/>
                <w:b w:val="0"/>
                <w:i w:val="0"/>
                <w:sz w:val="20"/>
                <w:u w:val="none"/>
              </w:rPr>
              <w:t>Smith v. Wade, 461 U.S. 30 (1983)</w:t>
            </w:r>
          </w:p>
        </w:tc>
        <w:tc>
          <w:tcPr>
            <w:tcW w:type="dxa" w:w="4680"/>
          </w:tcPr>
          <w:p>
            <w:pPr>
              <w:spacing w:line="240" w:lineRule="auto"/>
            </w:pPr>
            <w:r/>
            <w:r>
              <w:rPr>
                <w:rFonts w:ascii="Times New Roman" w:hAnsi="Times New Roman"/>
                <w:b w:val="0"/>
                <w:i w:val="0"/>
                <w:sz w:val="20"/>
                <w:u w:val="none"/>
              </w:rPr>
              <w:t>Punitive damages under § 1983 for reckless indifference</w:t>
            </w:r>
          </w:p>
        </w:tc>
      </w:tr>
      <w:tr>
        <w:tc>
          <w:tcPr>
            <w:tcW w:type="dxa" w:w="4680"/>
          </w:tcPr>
          <w:p>
            <w:pPr>
              <w:spacing w:line="240" w:lineRule="auto"/>
            </w:pPr>
            <w:r/>
            <w:r>
              <w:rPr>
                <w:rFonts w:ascii="Times New Roman" w:hAnsi="Times New Roman"/>
                <w:b w:val="0"/>
                <w:i w:val="0"/>
                <w:sz w:val="20"/>
                <w:u w:val="none"/>
              </w:rPr>
              <w:t>Kolstad v. American Dental Ass'n, 527 U.S. 526 (1999)</w:t>
            </w:r>
          </w:p>
        </w:tc>
        <w:tc>
          <w:tcPr>
            <w:tcW w:type="dxa" w:w="4680"/>
          </w:tcPr>
          <w:p>
            <w:pPr>
              <w:spacing w:line="240" w:lineRule="auto"/>
            </w:pPr>
            <w:r/>
            <w:r>
              <w:rPr>
                <w:rFonts w:ascii="Times New Roman" w:hAnsi="Times New Roman"/>
                <w:b w:val="0"/>
                <w:i w:val="0"/>
                <w:sz w:val="20"/>
                <w:u w:val="none"/>
              </w:rPr>
              <w:t>Evil motive not required for punitive damages</w:t>
            </w:r>
          </w:p>
        </w:tc>
      </w:tr>
      <w:tr>
        <w:tc>
          <w:tcPr>
            <w:tcW w:type="dxa" w:w="4680"/>
          </w:tcPr>
          <w:p>
            <w:pPr>
              <w:spacing w:line="240" w:lineRule="auto"/>
            </w:pPr>
            <w:r/>
            <w:r>
              <w:rPr>
                <w:rFonts w:ascii="Times New Roman" w:hAnsi="Times New Roman"/>
                <w:b w:val="0"/>
                <w:i w:val="0"/>
                <w:sz w:val="20"/>
                <w:u w:val="none"/>
              </w:rPr>
              <w:t>Carey v. Piphus, 435 U.S. 247 (1978)</w:t>
            </w:r>
          </w:p>
        </w:tc>
        <w:tc>
          <w:tcPr>
            <w:tcW w:type="dxa" w:w="4680"/>
          </w:tcPr>
          <w:p>
            <w:pPr>
              <w:spacing w:line="240" w:lineRule="auto"/>
            </w:pPr>
            <w:r/>
            <w:r>
              <w:rPr>
                <w:rFonts w:ascii="Times New Roman" w:hAnsi="Times New Roman"/>
                <w:b w:val="0"/>
                <w:i w:val="0"/>
                <w:sz w:val="20"/>
                <w:u w:val="none"/>
              </w:rPr>
              <w:t>Nominal damages for procedural due process violations</w:t>
            </w:r>
          </w:p>
        </w:tc>
      </w:tr>
      <w:tr>
        <w:tc>
          <w:tcPr>
            <w:tcW w:type="dxa" w:w="4680"/>
          </w:tcPr>
          <w:p>
            <w:pPr>
              <w:spacing w:line="240" w:lineRule="auto"/>
            </w:pPr>
            <w:r/>
            <w:r>
              <w:rPr>
                <w:rFonts w:ascii="Times New Roman" w:hAnsi="Times New Roman"/>
                <w:b w:val="0"/>
                <w:i w:val="0"/>
                <w:sz w:val="20"/>
                <w:u w:val="none"/>
              </w:rPr>
              <w:t>Uzuegbunam v. Preczewski, 592 U.S. 279 (2021)</w:t>
            </w:r>
          </w:p>
        </w:tc>
        <w:tc>
          <w:tcPr>
            <w:tcW w:type="dxa" w:w="4680"/>
          </w:tcPr>
          <w:p>
            <w:pPr>
              <w:spacing w:line="240" w:lineRule="auto"/>
            </w:pPr>
            <w:r/>
            <w:r>
              <w:rPr>
                <w:rFonts w:ascii="Times New Roman" w:hAnsi="Times New Roman"/>
                <w:b w:val="0"/>
                <w:i w:val="0"/>
                <w:sz w:val="20"/>
                <w:u w:val="none"/>
              </w:rPr>
              <w:t>Nominal damages sufficient for Article III standing</w:t>
            </w:r>
          </w:p>
        </w:tc>
      </w:tr>
      <w:tr>
        <w:tc>
          <w:tcPr>
            <w:tcW w:type="dxa" w:w="4680"/>
          </w:tcPr>
          <w:p>
            <w:pPr>
              <w:spacing w:line="240" w:lineRule="auto"/>
            </w:pPr>
            <w:r/>
            <w:r>
              <w:rPr>
                <w:rFonts w:ascii="Times New Roman" w:hAnsi="Times New Roman"/>
                <w:b w:val="0"/>
                <w:i w:val="0"/>
                <w:sz w:val="20"/>
                <w:u w:val="none"/>
              </w:rPr>
              <w:t>Farrar v. Hobby, 506 U.S. 103 (1992)</w:t>
            </w:r>
          </w:p>
        </w:tc>
        <w:tc>
          <w:tcPr>
            <w:tcW w:type="dxa" w:w="4680"/>
          </w:tcPr>
          <w:p>
            <w:pPr>
              <w:spacing w:line="240" w:lineRule="auto"/>
            </w:pPr>
            <w:r/>
            <w:r>
              <w:rPr>
                <w:rFonts w:ascii="Times New Roman" w:hAnsi="Times New Roman"/>
                <w:b w:val="0"/>
                <w:i w:val="0"/>
                <w:sz w:val="20"/>
                <w:u w:val="none"/>
              </w:rPr>
              <w:t>Nominal damages = prevailing party for costs</w:t>
            </w:r>
          </w:p>
        </w:tc>
      </w:tr>
      <w:tr>
        <w:tc>
          <w:tcPr>
            <w:tcW w:type="dxa" w:w="4680"/>
          </w:tcPr>
          <w:p>
            <w:pPr>
              <w:spacing w:line="240" w:lineRule="auto"/>
            </w:pPr>
            <w:r/>
            <w:r>
              <w:rPr>
                <w:rFonts w:ascii="Times New Roman" w:hAnsi="Times New Roman"/>
                <w:b w:val="0"/>
                <w:i w:val="0"/>
                <w:sz w:val="20"/>
                <w:u w:val="none"/>
              </w:rPr>
              <w:t>Memphis Community School Dist. v. Stachura, 477 U.S. 299 (1986)</w:t>
            </w:r>
          </w:p>
        </w:tc>
        <w:tc>
          <w:tcPr>
            <w:tcW w:type="dxa" w:w="4680"/>
          </w:tcPr>
          <w:p>
            <w:pPr>
              <w:spacing w:line="240" w:lineRule="auto"/>
            </w:pPr>
            <w:r/>
            <w:r>
              <w:rPr>
                <w:rFonts w:ascii="Times New Roman" w:hAnsi="Times New Roman"/>
                <w:b w:val="0"/>
                <w:i w:val="0"/>
                <w:sz w:val="20"/>
                <w:u w:val="none"/>
              </w:rPr>
              <w:t>Emotional distress recoverable without physical injury</w:t>
            </w:r>
          </w:p>
        </w:tc>
      </w:tr>
      <w:tr>
        <w:tc>
          <w:tcPr>
            <w:tcW w:type="dxa" w:w="4680"/>
          </w:tcPr>
          <w:p>
            <w:pPr>
              <w:spacing w:line="240" w:lineRule="auto"/>
            </w:pPr>
            <w:r/>
            <w:r>
              <w:rPr>
                <w:rFonts w:ascii="Times New Roman" w:hAnsi="Times New Roman"/>
                <w:b w:val="0"/>
                <w:i w:val="0"/>
                <w:sz w:val="20"/>
                <w:u w:val="none"/>
              </w:rPr>
              <w:t>Doe v. Claiborne County, 103 F.3d 495 (6th Cir. 1996)</w:t>
            </w:r>
          </w:p>
        </w:tc>
        <w:tc>
          <w:tcPr>
            <w:tcW w:type="dxa" w:w="4680"/>
          </w:tcPr>
          <w:p>
            <w:pPr>
              <w:spacing w:line="240" w:lineRule="auto"/>
            </w:pPr>
            <w:r/>
            <w:r>
              <w:rPr>
                <w:rFonts w:ascii="Times New Roman" w:hAnsi="Times New Roman"/>
                <w:b w:val="0"/>
                <w:i w:val="0"/>
                <w:sz w:val="20"/>
                <w:u w:val="none"/>
              </w:rPr>
              <w:t>6th Circuit recognizes substantive due process for parent-child</w:t>
            </w:r>
          </w:p>
        </w:tc>
      </w:tr>
      <w:tr>
        <w:tc>
          <w:tcPr>
            <w:tcW w:type="dxa" w:w="4680"/>
          </w:tcPr>
          <w:p>
            <w:pPr>
              <w:spacing w:line="240" w:lineRule="auto"/>
            </w:pPr>
            <w:r/>
            <w:r>
              <w:rPr>
                <w:rFonts w:ascii="Times New Roman" w:hAnsi="Times New Roman"/>
                <w:b w:val="0"/>
                <w:i w:val="0"/>
                <w:sz w:val="20"/>
                <w:u w:val="none"/>
              </w:rPr>
              <w:t>County of Sacramento v. Lewis, 523 U.S. 833 (1998)</w:t>
            </w:r>
          </w:p>
        </w:tc>
        <w:tc>
          <w:tcPr>
            <w:tcW w:type="dxa" w:w="4680"/>
          </w:tcPr>
          <w:p>
            <w:pPr>
              <w:spacing w:line="240" w:lineRule="auto"/>
            </w:pPr>
            <w:r/>
            <w:r>
              <w:rPr>
                <w:rFonts w:ascii="Times New Roman" w:hAnsi="Times New Roman"/>
                <w:b w:val="0"/>
                <w:i w:val="0"/>
                <w:sz w:val="20"/>
                <w:u w:val="none"/>
              </w:rPr>
              <w:t>Conscience-shocking standard</w:t>
            </w:r>
          </w:p>
        </w:tc>
      </w:tr>
      <w:tr>
        <w:tc>
          <w:tcPr>
            <w:tcW w:type="dxa" w:w="4680"/>
          </w:tcPr>
          <w:p>
            <w:pPr>
              <w:spacing w:line="240" w:lineRule="auto"/>
            </w:pPr>
            <w:r/>
            <w:r>
              <w:rPr>
                <w:rFonts w:ascii="Times New Roman" w:hAnsi="Times New Roman"/>
                <w:b w:val="0"/>
                <w:i w:val="0"/>
                <w:sz w:val="20"/>
                <w:u w:val="none"/>
              </w:rPr>
              <w:t>Craig v. Boren, 429 U.S. 190 (1976)</w:t>
            </w:r>
          </w:p>
        </w:tc>
        <w:tc>
          <w:tcPr>
            <w:tcW w:type="dxa" w:w="4680"/>
          </w:tcPr>
          <w:p>
            <w:pPr>
              <w:spacing w:line="240" w:lineRule="auto"/>
            </w:pPr>
            <w:r/>
            <w:r>
              <w:rPr>
                <w:rFonts w:ascii="Times New Roman" w:hAnsi="Times New Roman"/>
                <w:b w:val="0"/>
                <w:i w:val="0"/>
                <w:sz w:val="20"/>
                <w:u w:val="none"/>
              </w:rPr>
              <w:t>Intermediate scrutiny for sex-based classification</w:t>
            </w:r>
          </w:p>
        </w:tc>
      </w:tr>
      <w:tr>
        <w:tc>
          <w:tcPr>
            <w:tcW w:type="dxa" w:w="4680"/>
          </w:tcPr>
          <w:p>
            <w:pPr>
              <w:spacing w:line="240" w:lineRule="auto"/>
            </w:pPr>
            <w:r/>
            <w:r>
              <w:rPr>
                <w:rFonts w:ascii="Times New Roman" w:hAnsi="Times New Roman"/>
                <w:b w:val="0"/>
                <w:i w:val="0"/>
                <w:sz w:val="20"/>
                <w:u w:val="none"/>
              </w:rPr>
              <w:t>Halberstam v. Welch, 705 F.2d 472 (D.C. Cir. 1983)</w:t>
            </w:r>
          </w:p>
        </w:tc>
        <w:tc>
          <w:tcPr>
            <w:tcW w:type="dxa" w:w="4680"/>
          </w:tcPr>
          <w:p>
            <w:pPr>
              <w:spacing w:line="240" w:lineRule="auto"/>
            </w:pPr>
            <w:r/>
            <w:r>
              <w:rPr>
                <w:rFonts w:ascii="Times New Roman" w:hAnsi="Times New Roman"/>
                <w:b w:val="0"/>
                <w:i w:val="0"/>
                <w:sz w:val="20"/>
                <w:u w:val="none"/>
              </w:rPr>
              <w:t>Circumstantial evidence sufficient for conspiracy</w:t>
            </w:r>
          </w:p>
        </w:tc>
      </w:tr>
      <w:tr>
        <w:tc>
          <w:tcPr>
            <w:tcW w:type="dxa" w:w="4680"/>
          </w:tcPr>
          <w:p>
            <w:pPr>
              <w:spacing w:line="240" w:lineRule="auto"/>
            </w:pPr>
            <w:r/>
            <w:r>
              <w:rPr>
                <w:rFonts w:ascii="Times New Roman" w:hAnsi="Times New Roman"/>
                <w:b w:val="0"/>
                <w:i w:val="0"/>
                <w:sz w:val="20"/>
                <w:u w:val="none"/>
              </w:rPr>
              <w:t>Griffin v. Breckenridge, 403 U.S. 88 (1971)</w:t>
            </w:r>
          </w:p>
        </w:tc>
        <w:tc>
          <w:tcPr>
            <w:tcW w:type="dxa" w:w="4680"/>
          </w:tcPr>
          <w:p>
            <w:pPr>
              <w:spacing w:line="240" w:lineRule="auto"/>
            </w:pPr>
            <w:r/>
            <w:r>
              <w:rPr>
                <w:rFonts w:ascii="Times New Roman" w:hAnsi="Times New Roman"/>
                <w:b w:val="0"/>
                <w:i w:val="0"/>
                <w:sz w:val="20"/>
                <w:u w:val="none"/>
              </w:rPr>
              <w:t>§ 1985(3) elements</w:t>
            </w:r>
          </w:p>
        </w:tc>
      </w:tr>
      <w:tr>
        <w:tc>
          <w:tcPr>
            <w:tcW w:type="dxa" w:w="4680"/>
          </w:tcPr>
          <w:p>
            <w:pPr>
              <w:spacing w:line="240" w:lineRule="auto"/>
            </w:pPr>
            <w:r/>
            <w:r>
              <w:rPr>
                <w:rFonts w:ascii="Times New Roman" w:hAnsi="Times New Roman"/>
                <w:b w:val="0"/>
                <w:i w:val="0"/>
                <w:sz w:val="20"/>
                <w:u w:val="none"/>
              </w:rPr>
              <w:t>Adickes v. S.H. Kress &amp; Co., 398 U.S. 144 (1970)</w:t>
            </w:r>
          </w:p>
        </w:tc>
        <w:tc>
          <w:tcPr>
            <w:tcW w:type="dxa" w:w="4680"/>
          </w:tcPr>
          <w:p>
            <w:pPr>
              <w:spacing w:line="240" w:lineRule="auto"/>
            </w:pPr>
            <w:r/>
            <w:r>
              <w:rPr>
                <w:rFonts w:ascii="Times New Roman" w:hAnsi="Times New Roman"/>
                <w:b w:val="0"/>
                <w:i w:val="0"/>
                <w:sz w:val="20"/>
                <w:u w:val="none"/>
              </w:rPr>
              <w:t>Conspiracy with state actor = state action</w:t>
            </w:r>
          </w:p>
        </w:tc>
      </w:tr>
      <w:tr>
        <w:tc>
          <w:tcPr>
            <w:tcW w:type="dxa" w:w="4680"/>
          </w:tcPr>
          <w:p>
            <w:pPr>
              <w:spacing w:line="240" w:lineRule="auto"/>
            </w:pPr>
            <w:r/>
            <w:r>
              <w:rPr>
                <w:rFonts w:ascii="Times New Roman" w:hAnsi="Times New Roman"/>
                <w:b w:val="0"/>
                <w:i w:val="0"/>
                <w:sz w:val="20"/>
                <w:u w:val="none"/>
              </w:rPr>
              <w:t>West v. Atkins, 487 U.S. 42 (1988)</w:t>
            </w:r>
          </w:p>
        </w:tc>
        <w:tc>
          <w:tcPr>
            <w:tcW w:type="dxa" w:w="4680"/>
          </w:tcPr>
          <w:p>
            <w:pPr>
              <w:spacing w:line="240" w:lineRule="auto"/>
            </w:pPr>
            <w:r/>
            <w:r>
              <w:rPr>
                <w:rFonts w:ascii="Times New Roman" w:hAnsi="Times New Roman"/>
                <w:b w:val="0"/>
                <w:i w:val="0"/>
                <w:sz w:val="20"/>
                <w:u w:val="none"/>
              </w:rPr>
              <w:t>Color of state law — state actor definition</w:t>
            </w:r>
          </w:p>
        </w:tc>
      </w:tr>
      <w:tr>
        <w:tc>
          <w:tcPr>
            <w:tcW w:type="dxa" w:w="4680"/>
          </w:tcPr>
          <w:p>
            <w:pPr>
              <w:spacing w:line="240" w:lineRule="auto"/>
            </w:pPr>
            <w:r/>
            <w:r>
              <w:rPr>
                <w:rFonts w:ascii="Times New Roman" w:hAnsi="Times New Roman"/>
                <w:b w:val="0"/>
                <w:i w:val="0"/>
                <w:sz w:val="20"/>
                <w:u w:val="none"/>
              </w:rPr>
              <w:t>Kovacic v. Cuyahoga County DCFS, 606 F.3d 301 (6th Cir. 2010)</w:t>
            </w:r>
          </w:p>
        </w:tc>
        <w:tc>
          <w:tcPr>
            <w:tcW w:type="dxa" w:w="4680"/>
          </w:tcPr>
          <w:p>
            <w:pPr>
              <w:spacing w:line="240" w:lineRule="auto"/>
            </w:pPr>
            <w:r/>
            <w:r>
              <w:rPr>
                <w:rFonts w:ascii="Times New Roman" w:hAnsi="Times New Roman"/>
                <w:b w:val="0"/>
                <w:i w:val="0"/>
                <w:sz w:val="20"/>
                <w:u w:val="none"/>
              </w:rPr>
              <w:t>6th Circuit § 1983 parental rights claim</w:t>
            </w:r>
          </w:p>
        </w:tc>
      </w:tr>
      <w:tr>
        <w:tc>
          <w:tcPr>
            <w:tcW w:type="dxa" w:w="4680"/>
          </w:tcPr>
          <w:p>
            <w:pPr>
              <w:spacing w:line="240" w:lineRule="auto"/>
            </w:pPr>
            <w:r/>
            <w:r>
              <w:rPr>
                <w:rFonts w:ascii="Times New Roman" w:hAnsi="Times New Roman"/>
                <w:b w:val="0"/>
                <w:i w:val="0"/>
                <w:sz w:val="20"/>
                <w:u w:val="none"/>
              </w:rPr>
              <w:t>BMW of N. Am. v. Gore, 517 U.S. 559 (1996)</w:t>
            </w:r>
          </w:p>
        </w:tc>
        <w:tc>
          <w:tcPr>
            <w:tcW w:type="dxa" w:w="4680"/>
          </w:tcPr>
          <w:p>
            <w:pPr>
              <w:spacing w:line="240" w:lineRule="auto"/>
            </w:pPr>
            <w:r/>
            <w:r>
              <w:rPr>
                <w:rFonts w:ascii="Times New Roman" w:hAnsi="Times New Roman"/>
                <w:b w:val="0"/>
                <w:i w:val="0"/>
                <w:sz w:val="20"/>
                <w:u w:val="none"/>
              </w:rPr>
              <w:t>Constitutional guideposts for punitive damages</w:t>
            </w:r>
          </w:p>
        </w:tc>
      </w:tr>
      <w:tr>
        <w:tc>
          <w:tcPr>
            <w:tcW w:type="dxa" w:w="4680"/>
          </w:tcPr>
          <w:p>
            <w:pPr>
              <w:spacing w:line="240" w:lineRule="auto"/>
            </w:pPr>
            <w:r/>
            <w:r>
              <w:rPr>
                <w:rFonts w:ascii="Times New Roman" w:hAnsi="Times New Roman"/>
                <w:b w:val="0"/>
                <w:i w:val="0"/>
                <w:sz w:val="20"/>
                <w:u w:val="none"/>
              </w:rPr>
              <w:t>State Farm v. Campbell, 538 U.S. 408 (2003)</w:t>
            </w:r>
          </w:p>
        </w:tc>
        <w:tc>
          <w:tcPr>
            <w:tcW w:type="dxa" w:w="4680"/>
          </w:tcPr>
          <w:p>
            <w:pPr>
              <w:spacing w:line="240" w:lineRule="auto"/>
            </w:pPr>
            <w:r/>
            <w:r>
              <w:rPr>
                <w:rFonts w:ascii="Times New Roman" w:hAnsi="Times New Roman"/>
                <w:b w:val="0"/>
                <w:i w:val="0"/>
                <w:sz w:val="20"/>
                <w:u w:val="none"/>
              </w:rPr>
              <w:t>Single-digit punitive multiplier guidance</w:t>
            </w:r>
          </w:p>
        </w:tc>
      </w:tr>
      <w:tr>
        <w:tc>
          <w:tcPr>
            <w:tcW w:type="dxa" w:w="4680"/>
          </w:tcPr>
          <w:p>
            <w:pPr>
              <w:spacing w:line="240" w:lineRule="auto"/>
            </w:pPr>
            <w:r/>
            <w:r>
              <w:rPr>
                <w:rFonts w:ascii="Times New Roman" w:hAnsi="Times New Roman"/>
                <w:b w:val="0"/>
                <w:i w:val="0"/>
                <w:sz w:val="20"/>
                <w:u w:val="none"/>
              </w:rPr>
              <w:t>Exxon Mobil v. Saudi Basic Indus., 544 U.S. 280 (2005)</w:t>
            </w:r>
          </w:p>
        </w:tc>
        <w:tc>
          <w:tcPr>
            <w:tcW w:type="dxa" w:w="4680"/>
          </w:tcPr>
          <w:p>
            <w:pPr>
              <w:spacing w:line="240" w:lineRule="auto"/>
            </w:pPr>
            <w:r/>
            <w:r>
              <w:rPr>
                <w:rFonts w:ascii="Times New Roman" w:hAnsi="Times New Roman"/>
                <w:b w:val="0"/>
                <w:i w:val="0"/>
                <w:sz w:val="20"/>
                <w:u w:val="none"/>
              </w:rPr>
              <w:t>Rooker-Feldman limits</w:t>
            </w:r>
          </w:p>
        </w:tc>
      </w:tr>
      <w:tr>
        <w:tc>
          <w:tcPr>
            <w:tcW w:type="dxa" w:w="4680"/>
          </w:tcPr>
          <w:p>
            <w:pPr>
              <w:spacing w:line="240" w:lineRule="auto"/>
            </w:pPr>
            <w:r/>
            <w:r>
              <w:rPr>
                <w:rFonts w:ascii="Times New Roman" w:hAnsi="Times New Roman"/>
                <w:b w:val="0"/>
                <w:i w:val="0"/>
                <w:sz w:val="20"/>
                <w:u w:val="none"/>
              </w:rPr>
              <w:t>Patsy v. Board of Regents, 457 U.S. 496 (1982)</w:t>
            </w:r>
          </w:p>
        </w:tc>
        <w:tc>
          <w:tcPr>
            <w:tcW w:type="dxa" w:w="4680"/>
          </w:tcPr>
          <w:p>
            <w:pPr>
              <w:spacing w:line="240" w:lineRule="auto"/>
            </w:pPr>
            <w:r/>
            <w:r>
              <w:rPr>
                <w:rFonts w:ascii="Times New Roman" w:hAnsi="Times New Roman"/>
                <w:b w:val="0"/>
                <w:i w:val="0"/>
                <w:sz w:val="20"/>
                <w:u w:val="none"/>
              </w:rPr>
              <w:t>No exhaustion required for § 1983</w:t>
            </w:r>
          </w:p>
        </w:tc>
      </w:tr>
      <w:tr>
        <w:tc>
          <w:tcPr>
            <w:tcW w:type="dxa" w:w="4680"/>
          </w:tcPr>
          <w:p>
            <w:pPr>
              <w:spacing w:line="240" w:lineRule="auto"/>
            </w:pPr>
            <w:r/>
            <w:r>
              <w:rPr>
                <w:rFonts w:ascii="Times New Roman" w:hAnsi="Times New Roman"/>
                <w:b w:val="0"/>
                <w:i w:val="0"/>
                <w:sz w:val="20"/>
                <w:u w:val="none"/>
              </w:rPr>
              <w:t>Younger v. Harris, 401 U.S. 37 (1971)</w:t>
            </w:r>
          </w:p>
        </w:tc>
        <w:tc>
          <w:tcPr>
            <w:tcW w:type="dxa" w:w="4680"/>
          </w:tcPr>
          <w:p>
            <w:pPr>
              <w:spacing w:line="240" w:lineRule="auto"/>
            </w:pPr>
            <w:r/>
            <w:r>
              <w:rPr>
                <w:rFonts w:ascii="Times New Roman" w:hAnsi="Times New Roman"/>
                <w:b w:val="0"/>
                <w:i w:val="0"/>
                <w:sz w:val="20"/>
                <w:u w:val="none"/>
              </w:rPr>
              <w:t>Abstention doctrine and exceptions</w:t>
            </w:r>
          </w:p>
        </w:tc>
      </w:tr>
      <w:tr>
        <w:tc>
          <w:tcPr>
            <w:tcW w:type="dxa" w:w="4680"/>
          </w:tcPr>
          <w:p>
            <w:pPr>
              <w:spacing w:line="240" w:lineRule="auto"/>
            </w:pPr>
            <w:r/>
            <w:r>
              <w:rPr>
                <w:rFonts w:ascii="Times New Roman" w:hAnsi="Times New Roman"/>
                <w:b w:val="0"/>
                <w:i w:val="0"/>
                <w:sz w:val="20"/>
                <w:u w:val="none"/>
              </w:rPr>
              <w:t>Middlesex County Ethics Comm. v. Garden State Bar, 457 U.S. 423 (1982)</w:t>
            </w:r>
          </w:p>
        </w:tc>
        <w:tc>
          <w:tcPr>
            <w:tcW w:type="dxa" w:w="4680"/>
          </w:tcPr>
          <w:p>
            <w:pPr>
              <w:spacing w:line="240" w:lineRule="auto"/>
            </w:pPr>
            <w:r/>
            <w:r>
              <w:rPr>
                <w:rFonts w:ascii="Times New Roman" w:hAnsi="Times New Roman"/>
                <w:b w:val="0"/>
                <w:i w:val="0"/>
                <w:sz w:val="20"/>
                <w:u w:val="none"/>
              </w:rPr>
              <w:t>Younger exception for bad faith/harassment</w:t>
            </w:r>
          </w:p>
        </w:tc>
      </w:tr>
      <w:tr>
        <w:tc>
          <w:tcPr>
            <w:tcW w:type="dxa" w:w="4680"/>
          </w:tcPr>
          <w:p>
            <w:pPr>
              <w:spacing w:line="240" w:lineRule="auto"/>
            </w:pPr>
            <w:r/>
            <w:r>
              <w:rPr>
                <w:rFonts w:ascii="Times New Roman" w:hAnsi="Times New Roman"/>
                <w:b w:val="0"/>
                <w:i w:val="0"/>
                <w:sz w:val="20"/>
                <w:u w:val="none"/>
              </w:rPr>
              <w:t>42 U.S.C. § 1983</w:t>
            </w:r>
          </w:p>
        </w:tc>
        <w:tc>
          <w:tcPr>
            <w:tcW w:type="dxa" w:w="4680"/>
          </w:tcPr>
          <w:p>
            <w:pPr>
              <w:spacing w:line="240" w:lineRule="auto"/>
            </w:pPr>
            <w:r/>
            <w:r>
              <w:rPr>
                <w:rFonts w:ascii="Times New Roman" w:hAnsi="Times New Roman"/>
                <w:b w:val="0"/>
                <w:i w:val="0"/>
                <w:sz w:val="20"/>
                <w:u w:val="none"/>
              </w:rPr>
              <w:t>Deprivation of rights under color of law</w:t>
            </w:r>
          </w:p>
        </w:tc>
      </w:tr>
      <w:tr>
        <w:tc>
          <w:tcPr>
            <w:tcW w:type="dxa" w:w="4680"/>
          </w:tcPr>
          <w:p>
            <w:pPr>
              <w:spacing w:line="240" w:lineRule="auto"/>
            </w:pPr>
            <w:r/>
            <w:r>
              <w:rPr>
                <w:rFonts w:ascii="Times New Roman" w:hAnsi="Times New Roman"/>
                <w:b w:val="0"/>
                <w:i w:val="0"/>
                <w:sz w:val="20"/>
                <w:u w:val="none"/>
              </w:rPr>
              <w:t>42 U.S.C. § 1985(3)</w:t>
            </w:r>
          </w:p>
        </w:tc>
        <w:tc>
          <w:tcPr>
            <w:tcW w:type="dxa" w:w="4680"/>
          </w:tcPr>
          <w:p>
            <w:pPr>
              <w:spacing w:line="240" w:lineRule="auto"/>
            </w:pPr>
            <w:r/>
            <w:r>
              <w:rPr>
                <w:rFonts w:ascii="Times New Roman" w:hAnsi="Times New Roman"/>
                <w:b w:val="0"/>
                <w:i w:val="0"/>
                <w:sz w:val="20"/>
                <w:u w:val="none"/>
              </w:rPr>
              <w:t>Conspiracy to deprive civil rights</w:t>
            </w:r>
          </w:p>
        </w:tc>
      </w:tr>
      <w:tr>
        <w:tc>
          <w:tcPr>
            <w:tcW w:type="dxa" w:w="4680"/>
          </w:tcPr>
          <w:p>
            <w:pPr>
              <w:spacing w:line="240" w:lineRule="auto"/>
            </w:pPr>
            <w:r/>
            <w:r>
              <w:rPr>
                <w:rFonts w:ascii="Times New Roman" w:hAnsi="Times New Roman"/>
                <w:b w:val="0"/>
                <w:i w:val="0"/>
                <w:sz w:val="20"/>
                <w:u w:val="none"/>
              </w:rPr>
              <w:t>42 U.S.C. § 1988</w:t>
            </w:r>
          </w:p>
        </w:tc>
        <w:tc>
          <w:tcPr>
            <w:tcW w:type="dxa" w:w="4680"/>
          </w:tcPr>
          <w:p>
            <w:pPr>
              <w:spacing w:line="240" w:lineRule="auto"/>
            </w:pPr>
            <w:r/>
            <w:r>
              <w:rPr>
                <w:rFonts w:ascii="Times New Roman" w:hAnsi="Times New Roman"/>
                <w:b w:val="0"/>
                <w:i w:val="0"/>
                <w:sz w:val="20"/>
                <w:u w:val="none"/>
              </w:rPr>
              <w:t>Costs and fees for prevailing party</w:t>
            </w:r>
          </w:p>
        </w:tc>
      </w:tr>
      <w:tr>
        <w:tc>
          <w:tcPr>
            <w:tcW w:type="dxa" w:w="4680"/>
          </w:tcPr>
          <w:p>
            <w:pPr>
              <w:spacing w:line="240" w:lineRule="auto"/>
            </w:pPr>
            <w:r/>
            <w:r>
              <w:rPr>
                <w:rFonts w:ascii="Times New Roman" w:hAnsi="Times New Roman"/>
                <w:b w:val="0"/>
                <w:i w:val="0"/>
                <w:sz w:val="20"/>
                <w:u w:val="none"/>
              </w:rPr>
              <w:t>28 U.S.C. § 1331</w:t>
            </w:r>
          </w:p>
        </w:tc>
        <w:tc>
          <w:tcPr>
            <w:tcW w:type="dxa" w:w="4680"/>
          </w:tcPr>
          <w:p>
            <w:pPr>
              <w:spacing w:line="240" w:lineRule="auto"/>
            </w:pPr>
            <w:r/>
            <w:r>
              <w:rPr>
                <w:rFonts w:ascii="Times New Roman" w:hAnsi="Times New Roman"/>
                <w:b w:val="0"/>
                <w:i w:val="0"/>
                <w:sz w:val="20"/>
                <w:u w:val="none"/>
              </w:rPr>
              <w:t>Federal question jurisdiction</w:t>
            </w:r>
          </w:p>
        </w:tc>
      </w:tr>
      <w:tr>
        <w:tc>
          <w:tcPr>
            <w:tcW w:type="dxa" w:w="4680"/>
          </w:tcPr>
          <w:p>
            <w:pPr>
              <w:spacing w:line="240" w:lineRule="auto"/>
            </w:pPr>
            <w:r/>
            <w:r>
              <w:rPr>
                <w:rFonts w:ascii="Times New Roman" w:hAnsi="Times New Roman"/>
                <w:b w:val="0"/>
                <w:i w:val="0"/>
                <w:sz w:val="20"/>
                <w:u w:val="none"/>
              </w:rPr>
              <w:t>28 U.S.C. § 1343(a)(3)-(4)</w:t>
            </w:r>
          </w:p>
        </w:tc>
        <w:tc>
          <w:tcPr>
            <w:tcW w:type="dxa" w:w="4680"/>
          </w:tcPr>
          <w:p>
            <w:pPr>
              <w:spacing w:line="240" w:lineRule="auto"/>
            </w:pPr>
            <w:r/>
            <w:r>
              <w:rPr>
                <w:rFonts w:ascii="Times New Roman" w:hAnsi="Times New Roman"/>
                <w:b w:val="0"/>
                <w:i w:val="0"/>
                <w:sz w:val="20"/>
                <w:u w:val="none"/>
              </w:rPr>
              <w:t>Civil rights jurisdiction</w:t>
            </w:r>
          </w:p>
        </w:tc>
      </w:tr>
      <w:tr>
        <w:tc>
          <w:tcPr>
            <w:tcW w:type="dxa" w:w="4680"/>
          </w:tcPr>
          <w:p>
            <w:pPr>
              <w:spacing w:line="240" w:lineRule="auto"/>
            </w:pPr>
            <w:r/>
            <w:r>
              <w:rPr>
                <w:rFonts w:ascii="Times New Roman" w:hAnsi="Times New Roman"/>
                <w:b w:val="0"/>
                <w:i w:val="0"/>
                <w:sz w:val="20"/>
                <w:u w:val="none"/>
              </w:rPr>
              <w:t>28 U.S.C. § 1391(b)</w:t>
            </w:r>
          </w:p>
        </w:tc>
        <w:tc>
          <w:tcPr>
            <w:tcW w:type="dxa" w:w="4680"/>
          </w:tcPr>
          <w:p>
            <w:pPr>
              <w:spacing w:line="240" w:lineRule="auto"/>
            </w:pPr>
            <w:r/>
            <w:r>
              <w:rPr>
                <w:rFonts w:ascii="Times New Roman" w:hAnsi="Times New Roman"/>
                <w:b w:val="0"/>
                <w:i w:val="0"/>
                <w:sz w:val="20"/>
                <w:u w:val="none"/>
              </w:rPr>
              <w:t>Venue</w:t>
            </w:r>
          </w:p>
        </w:tc>
      </w:tr>
    </w:tbl>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ind w:firstLine="720"/>
        <w:jc w:val="left"/>
      </w:pPr>
      <w:r>
        <w:rPr>
          <w:rFonts w:ascii="Times New Roman" w:hAnsi="Times New Roman"/>
          <w:b w:val="0"/>
          <w:i/>
          <w:sz w:val="24"/>
          <w:u w:val="none"/>
        </w:rPr>
        <w:t>Respectfully submitted,</w:t>
      </w:r>
    </w:p>
    <w:p>
      <w:pPr>
        <w:spacing w:after="0" w:before="0" w:line="480" w:lineRule="auto"/>
        <w:ind w:firstLine="720"/>
        <w:jc w:val="left"/>
      </w:pPr>
      <w:r>
        <w:rPr>
          <w:rFonts w:ascii="Times New Roman" w:hAnsi="Times New Roman"/>
          <w:b w:val="0"/>
          <w:i w:val="0"/>
          <w:sz w:val="24"/>
          <w:u w:val="none"/>
        </w:rPr>
        <w:t>/s/ Andrew J. Pigors</w:t>
      </w:r>
    </w:p>
    <w:p>
      <w:pPr>
        <w:spacing w:after="0" w:before="0" w:line="480" w:lineRule="auto"/>
        <w:ind w:firstLine="720"/>
        <w:jc w:val="left"/>
      </w:pPr>
      <w:r>
        <w:rPr>
          <w:rFonts w:ascii="Times New Roman" w:hAnsi="Times New Roman"/>
          <w:b/>
          <w:i w:val="0"/>
          <w:sz w:val="24"/>
          <w:u w:val="none"/>
        </w:rPr>
        <w:t>Andrew J. Pigors</w:t>
      </w:r>
      <w:r>
        <w:rPr>
          <w:rFonts w:ascii="Times New Roman" w:hAnsi="Times New Roman"/>
          <w:b w:val="0"/>
          <w:i w:val="0"/>
          <w:sz w:val="24"/>
          <w:u w:val="none"/>
        </w:rPr>
        <w:t>, Pro Se Plaintiff</w:t>
      </w:r>
    </w:p>
    <w:p>
      <w:pPr>
        <w:spacing w:after="0" w:before="0" w:line="480" w:lineRule="auto"/>
        <w:ind w:firstLine="720"/>
        <w:jc w:val="left"/>
      </w:pPr>
      <w:r>
        <w:rPr>
          <w:rFonts w:ascii="Times New Roman" w:hAnsi="Times New Roman"/>
          <w:b w:val="0"/>
          <w:i w:val="0"/>
          <w:sz w:val="24"/>
          <w:u w:val="none"/>
        </w:rPr>
        <w:t>1977 Whitehall Road, Lot 17</w:t>
      </w:r>
    </w:p>
    <w:p>
      <w:pPr>
        <w:spacing w:after="0" w:before="0" w:line="480" w:lineRule="auto"/>
        <w:ind w:firstLine="720"/>
        <w:jc w:val="left"/>
      </w:pPr>
      <w:r>
        <w:rPr>
          <w:rFonts w:ascii="Times New Roman" w:hAnsi="Times New Roman"/>
          <w:b w:val="0"/>
          <w:i w:val="0"/>
          <w:sz w:val="24"/>
          <w:u w:val="none"/>
        </w:rPr>
        <w:t>Muskegon, MI 49445</w:t>
      </w:r>
    </w:p>
    <w:p>
      <w:pPr>
        <w:spacing w:after="0" w:before="0" w:line="480" w:lineRule="auto"/>
        <w:ind w:firstLine="720"/>
        <w:jc w:val="left"/>
      </w:pPr>
      <w:r>
        <w:rPr>
          <w:rFonts w:ascii="Times New Roman" w:hAnsi="Times New Roman"/>
          <w:b w:val="0"/>
          <w:i w:val="0"/>
          <w:sz w:val="24"/>
          <w:u w:val="none"/>
        </w:rPr>
        <w:t>(231) 903-5690</w:t>
      </w:r>
    </w:p>
    <w:p>
      <w:pPr>
        <w:spacing w:after="0" w:before="0" w:line="480" w:lineRule="auto"/>
        <w:ind w:firstLine="720"/>
        <w:jc w:val="left"/>
      </w:pPr>
      <w:r>
        <w:rPr>
          <w:rFonts w:ascii="Times New Roman" w:hAnsi="Times New Roman"/>
          <w:b w:val="0"/>
          <w:i w:val="0"/>
          <w:sz w:val="24"/>
          <w:u w:val="none"/>
        </w:rPr>
        <w:t>andrewpigors@gmail.com</w:t>
      </w:r>
    </w:p>
    <w:p>
      <w:pPr>
        <w:spacing w:after="0" w:before="0" w:line="480" w:lineRule="auto"/>
        <w:ind w:firstLine="720"/>
        <w:jc w:val="left"/>
      </w:pPr>
      <w:r>
        <w:rPr>
          <w:rFonts w:ascii="Times New Roman" w:hAnsi="Times New Roman"/>
          <w:b w:val="0"/>
          <w:i w:val="0"/>
          <w:sz w:val="24"/>
          <w:u w:val="none"/>
        </w:rPr>
        <w:t>Dated: _______________,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