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after="240" w:before="0"/>
        <w:jc w:val="center"/>
      </w:pPr>
      <w:r>
        <w:rPr>
          <w:rFonts w:ascii="Times New Roman" w:hAnsi="Times New Roman"/>
          <w:b/>
          <w:i w:val="0"/>
          <w:sz w:val="24"/>
        </w:rPr>
        <w:t>STATE OF MICHIGAN</w:t>
      </w:r>
    </w:p>
    <w:p>
      <w:pPr>
        <w:spacing w:line="480" w:lineRule="auto" w:after="240" w:before="0"/>
        <w:jc w:val="center"/>
      </w:pPr>
      <w:r>
        <w:rPr>
          <w:rFonts w:ascii="Times New Roman" w:hAnsi="Times New Roman"/>
          <w:b/>
          <w:i w:val="0"/>
          <w:sz w:val="24"/>
        </w:rPr>
        <w:t>JUDICIAL TENURE COMMISSION</w:t>
      </w:r>
    </w:p>
    <w:p>
      <w:r>
        <w:br w:type="page"/>
      </w:r>
    </w:p>
    <w:p>
      <w:pPr>
        <w:spacing w:line="480" w:lineRule="auto" w:after="0" w:before="0"/>
      </w:pPr>
      <w:r>
        <w:rPr>
          <w:rFonts w:ascii="Times New Roman" w:hAnsi="Times New Roman"/>
          <w:b/>
          <w:i w:val="0"/>
          <w:sz w:val="24"/>
        </w:rPr>
        <w:t>IN THE MATTER OF:</w:t>
      </w:r>
    </w:p>
    <w:p>
      <w:pPr>
        <w:spacing w:line="480" w:lineRule="auto" w:after="0" w:before="0"/>
      </w:pPr>
      <w:r>
        <w:rPr>
          <w:rFonts w:ascii="Times New Roman" w:hAnsi="Times New Roman"/>
          <w:b/>
          <w:i w:val="0"/>
          <w:sz w:val="24"/>
        </w:rPr>
        <w:t>The Honorable Jenny L. McNeill</w:t>
      </w:r>
      <w:r>
        <w:rPr>
          <w:rFonts w:ascii="Times New Roman" w:hAnsi="Times New Roman"/>
          <w:b w:val="0"/>
          <w:i w:val="0"/>
          <w:sz w:val="24"/>
        </w:rPr>
        <w:t xml:space="preserve"> </w:t>
      </w:r>
      <w:r>
        <w:rPr>
          <w:rFonts w:ascii="Times New Roman" w:hAnsi="Times New Roman"/>
          <w:b/>
          <w:i w:val="0"/>
          <w:sz w:val="24"/>
        </w:rPr>
        <w:t>14th Judicial Circuit Court</w:t>
      </w:r>
      <w:r>
        <w:rPr>
          <w:rFonts w:ascii="Times New Roman" w:hAnsi="Times New Roman"/>
          <w:b w:val="0"/>
          <w:i w:val="0"/>
          <w:sz w:val="24"/>
        </w:rPr>
        <w:t xml:space="preserve"> </w:t>
      </w:r>
      <w:r>
        <w:rPr>
          <w:rFonts w:ascii="Times New Roman" w:hAnsi="Times New Roman"/>
          <w:b/>
          <w:i w:val="0"/>
          <w:sz w:val="24"/>
        </w:rPr>
        <w:t>Muskegon County, Michigan</w:t>
      </w:r>
    </w:p>
    <w:p>
      <w:r>
        <w:br w:type="page"/>
      </w:r>
    </w:p>
    <w:p>
      <w:pPr>
        <w:spacing w:line="480" w:lineRule="auto" w:after="0" w:before="0"/>
      </w:pPr>
      <w:r>
        <w:rPr>
          <w:rFonts w:ascii="Times New Roman" w:hAnsi="Times New Roman"/>
          <w:b/>
          <w:i w:val="0"/>
          <w:sz w:val="24"/>
        </w:rPr>
        <w:t>Complainant:</w:t>
      </w:r>
      <w:r>
        <w:rPr>
          <w:rFonts w:ascii="Times New Roman" w:hAnsi="Times New Roman"/>
          <w:b w:val="0"/>
          <w:i w:val="0"/>
          <w:sz w:val="24"/>
        </w:rPr>
        <w:t xml:space="preserve"> Andrew J. Pigors 1977 Whitehall Road, Lot 17 Laketon Township, Michigan 49445 Telephone: (231) 903-5690</w:t>
      </w:r>
    </w:p>
    <w:p>
      <w:r>
        <w:br w:type="page"/>
      </w:r>
    </w:p>
    <w:p>
      <w:pPr>
        <w:spacing w:line="480" w:lineRule="auto" w:after="240" w:before="0"/>
        <w:jc w:val="center"/>
      </w:pPr>
      <w:r>
        <w:rPr>
          <w:rFonts w:ascii="Times New Roman" w:hAnsi="Times New Roman"/>
          <w:b/>
          <w:i w:val="0"/>
          <w:sz w:val="24"/>
        </w:rPr>
        <w:t>SUPPLEMENTAL BRIEF IN SUPPORT OF FORMAL COMPLAINT</w:t>
      </w:r>
    </w:p>
    <w:p>
      <w:pPr>
        <w:pStyle w:val="Heading2"/>
      </w:pPr>
      <w:r>
        <w:rPr>
          <w:rFonts w:ascii="Times New Roman" w:hAnsi="Times New Roman"/>
        </w:rPr>
        <w:t>Filed Pursuant to MCR 9.200 et seq.</w:t>
      </w:r>
    </w:p>
    <w:p>
      <w:r>
        <w:br w:type="page"/>
      </w:r>
    </w:p>
    <w:p>
      <w:pPr>
        <w:spacing w:line="480" w:lineRule="auto" w:after="240" w:before="0"/>
        <w:jc w:val="center"/>
      </w:pPr>
      <w:r>
        <w:rPr>
          <w:rFonts w:ascii="Times New Roman" w:hAnsi="Times New Roman"/>
          <w:b/>
          <w:i w:val="0"/>
          <w:sz w:val="24"/>
        </w:rPr>
        <w:t>I. INTRODUCTION</w:t>
      </w:r>
    </w:p>
    <w:p>
      <w:pPr>
        <w:spacing w:line="480" w:lineRule="auto" w:after="0" w:before="0"/>
      </w:pPr>
      <w:r>
        <w:rPr>
          <w:rFonts w:ascii="Times New Roman" w:hAnsi="Times New Roman"/>
          <w:b/>
          <w:sz w:val="24"/>
        </w:rPr>
        <w:t xml:space="preserve">1. </w:t>
      </w:r>
      <w:r>
        <w:rPr>
          <w:rFonts w:ascii="Times New Roman" w:hAnsi="Times New Roman"/>
          <w:b w:val="0"/>
          <w:i w:val="0"/>
          <w:sz w:val="24"/>
        </w:rPr>
        <w:t>This Supplemental Brief is filed in support of Complainant's previously filed Formal Complaint against the Honorable Jenny L. McNeill, judge of the 14th Judicial Circuit Court, Muskegon County, Michigan.</w:t>
      </w:r>
    </w:p>
    <w:p>
      <w:pPr>
        <w:spacing w:line="480" w:lineRule="auto" w:after="0" w:before="0"/>
      </w:pPr>
      <w:r>
        <w:rPr>
          <w:rFonts w:ascii="Times New Roman" w:hAnsi="Times New Roman"/>
          <w:b/>
          <w:sz w:val="24"/>
        </w:rPr>
        <w:t xml:space="preserve">2. </w:t>
      </w:r>
      <w:r>
        <w:rPr>
          <w:rFonts w:ascii="Times New Roman" w:hAnsi="Times New Roman"/>
          <w:b w:val="0"/>
          <w:i w:val="0"/>
          <w:sz w:val="24"/>
        </w:rPr>
        <w:t>This Brief provides additional documented evidence of judicial conduct violations, organized by Canon and supported by specific record citations from the underlying proceedings (Case No. 2024-001507-DC and Case No. 2023-5907-PP).</w:t>
      </w:r>
    </w:p>
    <w:p>
      <w:r>
        <w:br w:type="page"/>
      </w:r>
    </w:p>
    <w:p>
      <w:pPr>
        <w:spacing w:line="480" w:lineRule="auto" w:after="240" w:before="0"/>
        <w:jc w:val="center"/>
      </w:pPr>
      <w:r>
        <w:rPr>
          <w:rFonts w:ascii="Times New Roman" w:hAnsi="Times New Roman"/>
          <w:b/>
          <w:i w:val="0"/>
          <w:sz w:val="24"/>
        </w:rPr>
        <w:t>II. JURISDICTION</w:t>
      </w:r>
    </w:p>
    <w:p>
      <w:pPr>
        <w:spacing w:line="480" w:lineRule="auto" w:after="0" w:before="0"/>
      </w:pPr>
      <w:r>
        <w:rPr>
          <w:rFonts w:ascii="Times New Roman" w:hAnsi="Times New Roman"/>
          <w:b/>
          <w:sz w:val="24"/>
        </w:rPr>
        <w:t xml:space="preserve">3. </w:t>
      </w:r>
      <w:r>
        <w:rPr>
          <w:rFonts w:ascii="Times New Roman" w:hAnsi="Times New Roman"/>
          <w:b w:val="0"/>
          <w:i w:val="0"/>
          <w:sz w:val="24"/>
        </w:rPr>
        <w:t>The Judicial Tenure Commission has jurisdiction over complaints of judicial misconduct under Const 1963, art 6, § 30 and MCR 9.200 et seq.</w:t>
      </w:r>
    </w:p>
    <w:p>
      <w:pPr>
        <w:spacing w:line="480" w:lineRule="auto" w:after="0" w:before="0"/>
      </w:pPr>
      <w:r>
        <w:rPr>
          <w:rFonts w:ascii="Times New Roman" w:hAnsi="Times New Roman"/>
          <w:b/>
          <w:sz w:val="24"/>
        </w:rPr>
        <w:t xml:space="preserve">4. </w:t>
      </w:r>
      <w:r>
        <w:rPr>
          <w:rFonts w:ascii="Times New Roman" w:hAnsi="Times New Roman"/>
          <w:b w:val="0"/>
          <w:i w:val="0"/>
          <w:sz w:val="24"/>
        </w:rPr>
        <w:t>Discipline may be imposed for "misconduct in office" or "conduct that is clearly prejudicial to the administration of justice." MCR 9.205.</w:t>
      </w:r>
    </w:p>
    <w:p>
      <w:r>
        <w:br w:type="page"/>
      </w:r>
    </w:p>
    <w:p>
      <w:pPr>
        <w:spacing w:line="480" w:lineRule="auto" w:after="240" w:before="0"/>
        <w:jc w:val="center"/>
      </w:pPr>
      <w:r>
        <w:rPr>
          <w:rFonts w:ascii="Times New Roman" w:hAnsi="Times New Roman"/>
          <w:b/>
          <w:i w:val="0"/>
          <w:sz w:val="24"/>
        </w:rPr>
        <w:t>III. DOCUMENTED VIOLATIONS BY CANON</w:t>
      </w:r>
    </w:p>
    <w:p>
      <w:pPr>
        <w:pStyle w:val="Heading2"/>
      </w:pPr>
      <w:r>
        <w:rPr>
          <w:rFonts w:ascii="Times New Roman" w:hAnsi="Times New Roman"/>
        </w:rPr>
        <w:t>A. Canon 1 — Integrity and Independence of the Judiciary</w:t>
      </w:r>
    </w:p>
    <w:p>
      <w:pPr>
        <w:spacing w:line="480" w:lineRule="auto" w:after="0" w:before="0"/>
      </w:pPr>
      <w:r>
        <w:rPr>
          <w:rFonts w:ascii="Times New Roman" w:hAnsi="Times New Roman"/>
          <w:b/>
          <w:sz w:val="24"/>
        </w:rPr>
        <w:t xml:space="preserve">5. </w:t>
      </w:r>
      <w:r>
        <w:rPr>
          <w:rFonts w:ascii="Times New Roman" w:hAnsi="Times New Roman"/>
          <w:b w:val="0"/>
          <w:i w:val="0"/>
          <w:sz w:val="24"/>
        </w:rPr>
        <w:t>Canon 1 requires that a judge "should participate in establishing, maintaining, and enforcing high standards of conduct, and should personally observe those standards so that the integrity and independence of the judiciary may be preserved."</w:t>
      </w:r>
    </w:p>
    <w:p>
      <w:pPr>
        <w:spacing w:line="480" w:lineRule="auto" w:after="0" w:before="0"/>
      </w:pPr>
      <w:r>
        <w:rPr>
          <w:rFonts w:ascii="Times New Roman" w:hAnsi="Times New Roman"/>
          <w:b/>
          <w:sz w:val="24"/>
        </w:rPr>
        <w:t xml:space="preserve">6. </w:t>
      </w:r>
      <w:r>
        <w:rPr>
          <w:rFonts w:ascii="Times New Roman" w:hAnsi="Times New Roman"/>
          <w:b/>
          <w:i w:val="0"/>
          <w:sz w:val="24"/>
        </w:rPr>
        <w:t>Violation:</w:t>
      </w:r>
      <w:r>
        <w:rPr>
          <w:rFonts w:ascii="Times New Roman" w:hAnsi="Times New Roman"/>
          <w:b w:val="0"/>
          <w:i w:val="0"/>
          <w:sz w:val="24"/>
        </w:rPr>
        <w:t xml:space="preserve"> Judge McNeill entered five (5) ex parte orders on a single day (August 8, 2025) based on an </w:t>
      </w:r>
      <w:r>
        <w:rPr>
          <w:rFonts w:ascii="Times New Roman" w:hAnsi="Times New Roman"/>
          <w:b/>
          <w:i w:val="0"/>
          <w:sz w:val="24"/>
        </w:rPr>
        <w:t>unverified, unsworn</w:t>
      </w:r>
      <w:r>
        <w:rPr>
          <w:rFonts w:ascii="Times New Roman" w:hAnsi="Times New Roman"/>
          <w:b w:val="0"/>
          <w:i w:val="0"/>
          <w:sz w:val="24"/>
        </w:rPr>
        <w:t xml:space="preserve"> motion, without compliance with the procedural safeguards of MCR 3.206(B)(5)-(6) and MCR 3.207(B)(1). This departure from basic procedural requirements undermines the integrity of the judiciary and public confidence in the court system.</w:t>
      </w:r>
    </w:p>
    <w:p>
      <w:pPr>
        <w:pStyle w:val="Heading2"/>
      </w:pPr>
      <w:r>
        <w:rPr>
          <w:rFonts w:ascii="Times New Roman" w:hAnsi="Times New Roman"/>
        </w:rPr>
        <w:t>B. Canon 2 — Avoidance of Impropriety and Appearance of Impropriety</w:t>
      </w:r>
    </w:p>
    <w:p>
      <w:pPr>
        <w:spacing w:line="480" w:lineRule="auto" w:after="0" w:before="0"/>
      </w:pPr>
      <w:r>
        <w:rPr>
          <w:rFonts w:ascii="Times New Roman" w:hAnsi="Times New Roman"/>
          <w:b/>
          <w:sz w:val="24"/>
        </w:rPr>
        <w:t xml:space="preserve">7. </w:t>
      </w:r>
      <w:r>
        <w:rPr>
          <w:rFonts w:ascii="Times New Roman" w:hAnsi="Times New Roman"/>
          <w:b w:val="0"/>
          <w:i w:val="0"/>
          <w:sz w:val="24"/>
        </w:rPr>
        <w:t>Canon 2 requires that a judge "should avoid impropriety and the appearance of impropriety in all activities."</w:t>
      </w:r>
    </w:p>
    <w:p>
      <w:pPr>
        <w:spacing w:line="480" w:lineRule="auto" w:after="0" w:before="0"/>
      </w:pPr>
      <w:r>
        <w:rPr>
          <w:rFonts w:ascii="Times New Roman" w:hAnsi="Times New Roman"/>
          <w:b/>
          <w:sz w:val="24"/>
        </w:rPr>
        <w:t xml:space="preserve">8. </w:t>
      </w:r>
      <w:r>
        <w:rPr>
          <w:rFonts w:ascii="Times New Roman" w:hAnsi="Times New Roman"/>
          <w:b/>
          <w:i w:val="0"/>
          <w:sz w:val="24"/>
        </w:rPr>
        <w:t>Violations:</w:t>
      </w:r>
    </w:p>
    <w:p>
      <w:pPr>
        <w:spacing w:line="480" w:lineRule="auto" w:after="0" w:before="0"/>
      </w:pPr>
      <w:r>
        <w:rPr>
          <w:rFonts w:ascii="Times New Roman" w:hAnsi="Times New Roman"/>
          <w:b w:val="0"/>
          <w:i w:val="0"/>
          <w:sz w:val="24"/>
        </w:rPr>
        <w:t xml:space="preserve">a. </w:t>
      </w:r>
      <w:r>
        <w:rPr>
          <w:rFonts w:ascii="Times New Roman" w:hAnsi="Times New Roman"/>
          <w:b/>
          <w:i w:val="0"/>
          <w:sz w:val="24"/>
        </w:rPr>
        <w:t>Appearance of bias:</w:t>
      </w:r>
      <w:r>
        <w:rPr>
          <w:rFonts w:ascii="Times New Roman" w:hAnsi="Times New Roman"/>
          <w:b w:val="0"/>
          <w:i w:val="0"/>
          <w:sz w:val="24"/>
        </w:rPr>
        <w:t xml:space="preserve"> The systematic pattern of crediting one party's unsworn allegations while refusing to consider the other party's documentary evidence creates an appearance of impropriety to any reasonable observer.</w:t>
      </w:r>
    </w:p>
    <w:p>
      <w:pPr>
        <w:spacing w:line="480" w:lineRule="auto" w:after="0" w:before="0"/>
      </w:pPr>
      <w:r>
        <w:rPr>
          <w:rFonts w:ascii="Times New Roman" w:hAnsi="Times New Roman"/>
          <w:b w:val="0"/>
          <w:i w:val="0"/>
          <w:sz w:val="24"/>
        </w:rPr>
        <w:t xml:space="preserve">b. </w:t>
      </w:r>
      <w:r>
        <w:rPr>
          <w:rFonts w:ascii="Times New Roman" w:hAnsi="Times New Roman"/>
          <w:b/>
          <w:i w:val="0"/>
          <w:sz w:val="24"/>
        </w:rPr>
        <w:t>Disproportionate ex parte action:</w:t>
      </w:r>
      <w:r>
        <w:rPr>
          <w:rFonts w:ascii="Times New Roman" w:hAnsi="Times New Roman"/>
          <w:b w:val="0"/>
          <w:i w:val="0"/>
          <w:sz w:val="24"/>
        </w:rPr>
        <w:t xml:space="preserve"> Signing five ex parte orders on one day, imposing the most extreme remedy available (total elimination of parenting time), based on unsworn hearsay, without scheduling a timely hearing, creates the appearance of prejudgment.</w:t>
      </w:r>
    </w:p>
    <w:p>
      <w:pPr>
        <w:spacing w:line="480" w:lineRule="auto" w:after="0" w:before="0"/>
      </w:pPr>
      <w:r>
        <w:rPr>
          <w:rFonts w:ascii="Times New Roman" w:hAnsi="Times New Roman"/>
          <w:b w:val="0"/>
          <w:i w:val="0"/>
          <w:sz w:val="24"/>
        </w:rPr>
        <w:t>c. The litigation record documents 6,512 court speaker impeachment items and 20 court-attributed DUE_PROCESS_VIOLATION evidence entries — an extraordinary volume of documented procedural anomalies attributable to judicial action.</w:t>
      </w:r>
    </w:p>
    <w:p>
      <w:pPr>
        <w:pStyle w:val="Heading2"/>
      </w:pPr>
      <w:r>
        <w:rPr>
          <w:rFonts w:ascii="Times New Roman" w:hAnsi="Times New Roman"/>
        </w:rPr>
        <w:t>C. Canon 3(A)(4) — Prohibition on Ex Parte Communications</w:t>
      </w:r>
    </w:p>
    <w:p>
      <w:pPr>
        <w:spacing w:line="480" w:lineRule="auto" w:after="0" w:before="0"/>
      </w:pPr>
      <w:r>
        <w:rPr>
          <w:rFonts w:ascii="Times New Roman" w:hAnsi="Times New Roman"/>
          <w:b/>
          <w:sz w:val="24"/>
        </w:rPr>
        <w:t xml:space="preserve">9. </w:t>
      </w:r>
      <w:r>
        <w:rPr>
          <w:rFonts w:ascii="Times New Roman" w:hAnsi="Times New Roman"/>
          <w:b w:val="0"/>
          <w:i w:val="0"/>
          <w:sz w:val="24"/>
        </w:rPr>
        <w:t>Canon 3(A)(4): "A judge should accord to every person who has a legal interest in a proceeding, or that person's lawyer, full right to be heard according to law . . . A judge should not initiate, permit, or consider ex parte communications, or consider other communications concerning a pending or impending proceeding, that occur outside the presence of the parties or their lawyers."</w:t>
      </w:r>
    </w:p>
    <w:p>
      <w:pPr>
        <w:spacing w:line="480" w:lineRule="auto" w:after="0" w:before="0"/>
      </w:pPr>
      <w:r>
        <w:rPr>
          <w:rFonts w:ascii="Times New Roman" w:hAnsi="Times New Roman"/>
          <w:b/>
          <w:sz w:val="24"/>
        </w:rPr>
        <w:t xml:space="preserve">10. </w:t>
      </w:r>
      <w:r>
        <w:rPr>
          <w:rFonts w:ascii="Times New Roman" w:hAnsi="Times New Roman"/>
          <w:b/>
          <w:i w:val="0"/>
          <w:sz w:val="24"/>
        </w:rPr>
        <w:t>Violations:</w:t>
      </w:r>
    </w:p>
    <w:p>
      <w:pPr>
        <w:spacing w:line="480" w:lineRule="auto" w:after="0" w:before="0"/>
      </w:pPr>
      <w:r>
        <w:rPr>
          <w:rFonts w:ascii="Times New Roman" w:hAnsi="Times New Roman"/>
          <w:b w:val="0"/>
          <w:i w:val="0"/>
          <w:sz w:val="24"/>
        </w:rPr>
        <w:t xml:space="preserve">a. </w:t>
      </w:r>
      <w:r>
        <w:rPr>
          <w:rFonts w:ascii="Times New Roman" w:hAnsi="Times New Roman"/>
          <w:b/>
          <w:i w:val="0"/>
          <w:sz w:val="24"/>
        </w:rPr>
        <w:t>USB Recording:</w:t>
      </w:r>
      <w:r>
        <w:rPr>
          <w:rFonts w:ascii="Times New Roman" w:hAnsi="Times New Roman"/>
          <w:b w:val="0"/>
          <w:i w:val="0"/>
          <w:sz w:val="24"/>
        </w:rPr>
        <w:t xml:space="preserve"> Evidence in the record indicates that Judge McNeill received and considered a USB recording submitted ex parte — outside the hearing, outside the record, and without providing the opposing party an opportunity to examine or challenge the content.</w:t>
      </w:r>
    </w:p>
    <w:p>
      <w:pPr>
        <w:spacing w:line="480" w:lineRule="auto" w:after="0" w:before="0"/>
      </w:pPr>
      <w:r>
        <w:rPr>
          <w:rFonts w:ascii="Times New Roman" w:hAnsi="Times New Roman"/>
          <w:b w:val="0"/>
          <w:i w:val="0"/>
          <w:sz w:val="24"/>
        </w:rPr>
        <w:t xml:space="preserve">b. </w:t>
      </w:r>
      <w:r>
        <w:rPr>
          <w:rFonts w:ascii="Times New Roman" w:hAnsi="Times New Roman"/>
          <w:b/>
          <w:i w:val="0"/>
          <w:sz w:val="24"/>
        </w:rPr>
        <w:t>Mental Health Evaluation:</w:t>
      </w:r>
      <w:r>
        <w:rPr>
          <w:rFonts w:ascii="Times New Roman" w:hAnsi="Times New Roman"/>
          <w:b w:val="0"/>
          <w:i w:val="0"/>
          <w:sz w:val="24"/>
        </w:rPr>
        <w:t xml:space="preserve"> Similarly, mental health evaluation materials were handled off the record and ex parte, depriving Father of the opportunity to examine the source, challenge the methodology, or present rebuttal evidence.</w:t>
      </w:r>
    </w:p>
    <w:p>
      <w:pPr>
        <w:spacing w:line="480" w:lineRule="auto" w:after="0" w:before="0"/>
      </w:pPr>
      <w:r>
        <w:rPr>
          <w:rFonts w:ascii="Times New Roman" w:hAnsi="Times New Roman"/>
          <w:b w:val="0"/>
          <w:i w:val="0"/>
          <w:sz w:val="24"/>
        </w:rPr>
        <w:t>c. These ex parte communications went directly to the merits of disputed factual issues (Father's fitness, child safety) and cannot be categorized under any exception to the Canon 3(A)(4) prohibition.</w:t>
      </w:r>
    </w:p>
    <w:p>
      <w:pPr>
        <w:pStyle w:val="Heading2"/>
      </w:pPr>
      <w:r>
        <w:rPr>
          <w:rFonts w:ascii="Times New Roman" w:hAnsi="Times New Roman"/>
        </w:rPr>
        <w:t>D. Canon 3(A)(5) — Right to Be Heard According to Law</w:t>
      </w:r>
    </w:p>
    <w:p>
      <w:pPr>
        <w:spacing w:line="480" w:lineRule="auto" w:after="0" w:before="0"/>
      </w:pPr>
      <w:r>
        <w:rPr>
          <w:rFonts w:ascii="Times New Roman" w:hAnsi="Times New Roman"/>
          <w:b/>
          <w:sz w:val="24"/>
        </w:rPr>
        <w:t xml:space="preserve">11. </w:t>
      </w:r>
      <w:r>
        <w:rPr>
          <w:rFonts w:ascii="Times New Roman" w:hAnsi="Times New Roman"/>
          <w:b w:val="0"/>
          <w:i w:val="0"/>
          <w:sz w:val="24"/>
        </w:rPr>
        <w:t>Canon 3(A)(5) requires that judges "accord to every person who has a legal interest in a proceeding . . . the right to be heard according to law."</w:t>
      </w:r>
    </w:p>
    <w:p>
      <w:pPr>
        <w:spacing w:line="480" w:lineRule="auto" w:after="0" w:before="0"/>
      </w:pPr>
      <w:r>
        <w:rPr>
          <w:rFonts w:ascii="Times New Roman" w:hAnsi="Times New Roman"/>
          <w:b/>
          <w:sz w:val="24"/>
        </w:rPr>
        <w:t xml:space="preserve">12. </w:t>
      </w:r>
      <w:r>
        <w:rPr>
          <w:rFonts w:ascii="Times New Roman" w:hAnsi="Times New Roman"/>
          <w:b/>
          <w:i w:val="0"/>
          <w:sz w:val="24"/>
        </w:rPr>
        <w:t>Violations:</w:t>
      </w:r>
    </w:p>
    <w:p>
      <w:pPr>
        <w:spacing w:line="480" w:lineRule="auto" w:after="0" w:before="0"/>
      </w:pPr>
      <w:r>
        <w:rPr>
          <w:rFonts w:ascii="Times New Roman" w:hAnsi="Times New Roman"/>
          <w:b w:val="0"/>
          <w:i w:val="0"/>
          <w:sz w:val="24"/>
        </w:rPr>
        <w:t xml:space="preserve">a. </w:t>
      </w:r>
      <w:r>
        <w:rPr>
          <w:rFonts w:ascii="Times New Roman" w:hAnsi="Times New Roman"/>
          <w:b/>
          <w:i w:val="0"/>
          <w:sz w:val="24"/>
        </w:rPr>
        <w:t>Refusal to review exculpatory evidence:</w:t>
      </w:r>
      <w:r>
        <w:rPr>
          <w:rFonts w:ascii="Times New Roman" w:hAnsi="Times New Roman"/>
          <w:b w:val="0"/>
          <w:i w:val="0"/>
          <w:sz w:val="24"/>
        </w:rPr>
        <w:t xml:space="preserve"> Father attempted to present photographs of L.D.W. happy and healthy during exchanges and his NEGATIVE narcotics screen. Judge McNeill refused to review them.</w:t>
      </w:r>
    </w:p>
    <w:p>
      <w:pPr>
        <w:spacing w:line="480" w:lineRule="auto" w:after="0" w:before="0"/>
      </w:pPr>
      <w:r>
        <w:rPr>
          <w:rFonts w:ascii="Times New Roman" w:hAnsi="Times New Roman"/>
          <w:b w:val="0"/>
          <w:i w:val="0"/>
          <w:sz w:val="24"/>
        </w:rPr>
        <w:t xml:space="preserve">b. </w:t>
      </w:r>
      <w:r>
        <w:rPr>
          <w:rFonts w:ascii="Times New Roman" w:hAnsi="Times New Roman"/>
          <w:b/>
          <w:i w:val="0"/>
          <w:sz w:val="24"/>
        </w:rPr>
        <w:t>Characterization of cross-examination as harassment:</w:t>
      </w:r>
      <w:r>
        <w:rPr>
          <w:rFonts w:ascii="Times New Roman" w:hAnsi="Times New Roman"/>
          <w:b w:val="0"/>
          <w:i w:val="0"/>
          <w:sz w:val="24"/>
        </w:rPr>
        <w:t xml:space="preserve"> The court stated on the record that Father's "continued pattern of questioning is meant to harass the defendant." Cross-examination of adverse witnesses is a fundamental due process right, not harassment.</w:t>
      </w:r>
    </w:p>
    <w:p>
      <w:pPr>
        <w:spacing w:line="480" w:lineRule="auto" w:after="0" w:before="0"/>
      </w:pPr>
      <w:r>
        <w:rPr>
          <w:rFonts w:ascii="Times New Roman" w:hAnsi="Times New Roman"/>
          <w:b w:val="0"/>
          <w:i w:val="0"/>
          <w:sz w:val="24"/>
        </w:rPr>
        <w:t xml:space="preserve">c. </w:t>
      </w:r>
      <w:r>
        <w:rPr>
          <w:rFonts w:ascii="Times New Roman" w:hAnsi="Times New Roman"/>
          <w:b/>
          <w:i w:val="0"/>
          <w:sz w:val="24"/>
        </w:rPr>
        <w:t>329+ days without a merits hearing:</w:t>
      </w:r>
      <w:r>
        <w:rPr>
          <w:rFonts w:ascii="Times New Roman" w:hAnsi="Times New Roman"/>
          <w:b w:val="0"/>
          <w:i w:val="0"/>
          <w:sz w:val="24"/>
        </w:rPr>
        <w:t xml:space="preserve"> Despite MCR 3.206(B)(6) requiring a hearing "as soon as possible" after ex parte orders, no full evidentiary hearing has been held in over 329 days.</w:t>
      </w:r>
    </w:p>
    <w:p>
      <w:pPr>
        <w:pStyle w:val="Heading2"/>
      </w:pPr>
      <w:r>
        <w:rPr>
          <w:rFonts w:ascii="Times New Roman" w:hAnsi="Times New Roman"/>
        </w:rPr>
        <w:t>E. Canon 3(B)(5) — Duty to Decide Without Favoritism</w:t>
      </w:r>
    </w:p>
    <w:p>
      <w:pPr>
        <w:spacing w:line="480" w:lineRule="auto" w:after="0" w:before="0"/>
      </w:pPr>
      <w:r>
        <w:rPr>
          <w:rFonts w:ascii="Times New Roman" w:hAnsi="Times New Roman"/>
          <w:b/>
          <w:sz w:val="24"/>
        </w:rPr>
        <w:t xml:space="preserve">13. </w:t>
      </w:r>
      <w:r>
        <w:rPr>
          <w:rFonts w:ascii="Times New Roman" w:hAnsi="Times New Roman"/>
          <w:b w:val="0"/>
          <w:i w:val="0"/>
          <w:sz w:val="24"/>
        </w:rPr>
        <w:t>Canon 3(B)(5): "A judge should perform judicial duties without bias or prejudice."</w:t>
      </w:r>
    </w:p>
    <w:p>
      <w:pPr>
        <w:spacing w:line="480" w:lineRule="auto" w:after="0" w:before="0"/>
      </w:pPr>
      <w:r>
        <w:rPr>
          <w:rFonts w:ascii="Times New Roman" w:hAnsi="Times New Roman"/>
          <w:b/>
          <w:sz w:val="24"/>
        </w:rPr>
        <w:t xml:space="preserve">14. </w:t>
      </w:r>
      <w:r>
        <w:rPr>
          <w:rFonts w:ascii="Times New Roman" w:hAnsi="Times New Roman"/>
          <w:b/>
          <w:i w:val="0"/>
          <w:sz w:val="24"/>
        </w:rPr>
        <w:t>Violation:</w:t>
      </w:r>
      <w:r>
        <w:rPr>
          <w:rFonts w:ascii="Times New Roman" w:hAnsi="Times New Roman"/>
          <w:b w:val="0"/>
          <w:i w:val="0"/>
          <w:sz w:val="24"/>
        </w:rPr>
        <w:t xml:space="preserve"> The documented pattern shows systematic favoritism:</w:t>
      </w:r>
    </w:p>
    <w:p>
      <w:r>
        <w:br w:type="page"/>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line="240" w:lineRule="auto"/>
            </w:pPr>
            <w:r/>
            <w:r>
              <w:rPr>
                <w:rFonts w:ascii="Times New Roman" w:hAnsi="Times New Roman"/>
                <w:b/>
                <w:sz w:val="24"/>
              </w:rPr>
              <w:t>Indicator</w:t>
            </w:r>
          </w:p>
        </w:tc>
        <w:tc>
          <w:tcPr>
            <w:tcW w:type="dxa" w:w="3120"/>
          </w:tcPr>
          <w:p>
            <w:pPr>
              <w:spacing w:line="240" w:lineRule="auto"/>
            </w:pPr>
            <w:r/>
            <w:r>
              <w:rPr>
                <w:rFonts w:ascii="Times New Roman" w:hAnsi="Times New Roman"/>
                <w:b/>
                <w:sz w:val="24"/>
              </w:rPr>
              <w:t>Mother (Watson)</w:t>
            </w:r>
          </w:p>
        </w:tc>
        <w:tc>
          <w:tcPr>
            <w:tcW w:type="dxa" w:w="3120"/>
          </w:tcPr>
          <w:p>
            <w:pPr>
              <w:spacing w:line="240" w:lineRule="auto"/>
            </w:pPr>
            <w:r/>
            <w:r>
              <w:rPr>
                <w:rFonts w:ascii="Times New Roman" w:hAnsi="Times New Roman"/>
                <w:b/>
                <w:sz w:val="24"/>
              </w:rPr>
              <w:t>Father (Pigors)</w:t>
            </w:r>
          </w:p>
        </w:tc>
      </w:tr>
      <w:tr>
        <w:tc>
          <w:tcPr>
            <w:tcW w:type="dxa" w:w="3120"/>
          </w:tcPr>
          <w:p>
            <w:pPr>
              <w:spacing w:line="240" w:lineRule="auto"/>
            </w:pPr>
            <w:r/>
            <w:r>
              <w:rPr>
                <w:rFonts w:ascii="Times New Roman" w:hAnsi="Times New Roman"/>
                <w:b w:val="0"/>
                <w:i w:val="0"/>
                <w:sz w:val="24"/>
              </w:rPr>
              <w:t>Unsworn allegations</w:t>
            </w:r>
          </w:p>
        </w:tc>
        <w:tc>
          <w:tcPr>
            <w:tcW w:type="dxa" w:w="3120"/>
          </w:tcPr>
          <w:p>
            <w:pPr>
              <w:spacing w:line="240" w:lineRule="auto"/>
            </w:pPr>
            <w:r/>
            <w:r>
              <w:rPr>
                <w:rFonts w:ascii="Times New Roman" w:hAnsi="Times New Roman"/>
                <w:b w:val="0"/>
                <w:i w:val="0"/>
                <w:sz w:val="24"/>
              </w:rPr>
              <w:t>Accepted</w:t>
            </w:r>
          </w:p>
        </w:tc>
        <w:tc>
          <w:tcPr>
            <w:tcW w:type="dxa" w:w="3120"/>
          </w:tcPr>
          <w:p>
            <w:pPr>
              <w:spacing w:line="240" w:lineRule="auto"/>
            </w:pPr>
            <w:r/>
            <w:r>
              <w:rPr>
                <w:rFonts w:ascii="Times New Roman" w:hAnsi="Times New Roman"/>
                <w:b w:val="0"/>
                <w:i w:val="0"/>
                <w:sz w:val="24"/>
              </w:rPr>
              <w:t>—</w:t>
            </w:r>
          </w:p>
        </w:tc>
      </w:tr>
      <w:tr>
        <w:tc>
          <w:tcPr>
            <w:tcW w:type="dxa" w:w="3120"/>
          </w:tcPr>
          <w:p>
            <w:pPr>
              <w:spacing w:line="240" w:lineRule="auto"/>
            </w:pPr>
            <w:r/>
            <w:r>
              <w:rPr>
                <w:rFonts w:ascii="Times New Roman" w:hAnsi="Times New Roman"/>
                <w:b w:val="0"/>
                <w:i w:val="0"/>
                <w:sz w:val="24"/>
              </w:rPr>
              <w:t>Ex parte motions</w:t>
            </w:r>
          </w:p>
        </w:tc>
        <w:tc>
          <w:tcPr>
            <w:tcW w:type="dxa" w:w="3120"/>
          </w:tcPr>
          <w:p>
            <w:pPr>
              <w:spacing w:line="240" w:lineRule="auto"/>
            </w:pPr>
            <w:r/>
            <w:r>
              <w:rPr>
                <w:rFonts w:ascii="Times New Roman" w:hAnsi="Times New Roman"/>
                <w:b w:val="0"/>
                <w:i w:val="0"/>
                <w:sz w:val="24"/>
              </w:rPr>
              <w:t>Granted (5 orders same day)</w:t>
            </w:r>
          </w:p>
        </w:tc>
        <w:tc>
          <w:tcPr>
            <w:tcW w:type="dxa" w:w="3120"/>
          </w:tcPr>
          <w:p>
            <w:pPr>
              <w:spacing w:line="240" w:lineRule="auto"/>
            </w:pPr>
            <w:r/>
            <w:r>
              <w:rPr>
                <w:rFonts w:ascii="Times New Roman" w:hAnsi="Times New Roman"/>
                <w:b w:val="0"/>
                <w:i w:val="0"/>
                <w:sz w:val="24"/>
              </w:rPr>
              <w:t>Denied / not heard</w:t>
            </w:r>
          </w:p>
        </w:tc>
      </w:tr>
      <w:tr>
        <w:tc>
          <w:tcPr>
            <w:tcW w:type="dxa" w:w="3120"/>
          </w:tcPr>
          <w:p>
            <w:pPr>
              <w:spacing w:line="240" w:lineRule="auto"/>
            </w:pPr>
            <w:r/>
            <w:r>
              <w:rPr>
                <w:rFonts w:ascii="Times New Roman" w:hAnsi="Times New Roman"/>
                <w:b w:val="0"/>
                <w:i w:val="0"/>
                <w:sz w:val="24"/>
              </w:rPr>
              <w:t>Evidence presentation</w:t>
            </w:r>
          </w:p>
        </w:tc>
        <w:tc>
          <w:tcPr>
            <w:tcW w:type="dxa" w:w="3120"/>
          </w:tcPr>
          <w:p>
            <w:pPr>
              <w:spacing w:line="240" w:lineRule="auto"/>
            </w:pPr>
            <w:r/>
            <w:r>
              <w:rPr>
                <w:rFonts w:ascii="Times New Roman" w:hAnsi="Times New Roman"/>
                <w:b w:val="0"/>
                <w:i w:val="0"/>
                <w:sz w:val="24"/>
              </w:rPr>
              <w:t>Credited without scrutiny</w:t>
            </w:r>
          </w:p>
        </w:tc>
        <w:tc>
          <w:tcPr>
            <w:tcW w:type="dxa" w:w="3120"/>
          </w:tcPr>
          <w:p>
            <w:pPr>
              <w:spacing w:line="240" w:lineRule="auto"/>
            </w:pPr>
            <w:r/>
            <w:r>
              <w:rPr>
                <w:rFonts w:ascii="Times New Roman" w:hAnsi="Times New Roman"/>
                <w:b w:val="0"/>
                <w:i w:val="0"/>
                <w:sz w:val="24"/>
              </w:rPr>
              <w:t>Refused review</w:t>
            </w:r>
          </w:p>
        </w:tc>
      </w:tr>
      <w:tr>
        <w:tc>
          <w:tcPr>
            <w:tcW w:type="dxa" w:w="3120"/>
          </w:tcPr>
          <w:p>
            <w:pPr>
              <w:spacing w:line="240" w:lineRule="auto"/>
            </w:pPr>
            <w:r/>
            <w:r>
              <w:rPr>
                <w:rFonts w:ascii="Times New Roman" w:hAnsi="Times New Roman"/>
                <w:b w:val="0"/>
                <w:i w:val="0"/>
                <w:sz w:val="24"/>
              </w:rPr>
              <w:t>Hearing scheduling</w:t>
            </w:r>
          </w:p>
        </w:tc>
        <w:tc>
          <w:tcPr>
            <w:tcW w:type="dxa" w:w="3120"/>
          </w:tcPr>
          <w:p>
            <w:pPr>
              <w:spacing w:line="240" w:lineRule="auto"/>
            </w:pPr>
            <w:r/>
            <w:r>
              <w:rPr>
                <w:rFonts w:ascii="Times New Roman" w:hAnsi="Times New Roman"/>
                <w:b w:val="0"/>
                <w:i w:val="0"/>
                <w:sz w:val="24"/>
              </w:rPr>
              <w:t>Not required to justify</w:t>
            </w:r>
          </w:p>
        </w:tc>
        <w:tc>
          <w:tcPr>
            <w:tcW w:type="dxa" w:w="3120"/>
          </w:tcPr>
          <w:p>
            <w:pPr>
              <w:spacing w:line="240" w:lineRule="auto"/>
            </w:pPr>
            <w:r/>
            <w:r>
              <w:rPr>
                <w:rFonts w:ascii="Times New Roman" w:hAnsi="Times New Roman"/>
                <w:b w:val="0"/>
                <w:i w:val="0"/>
                <w:sz w:val="24"/>
              </w:rPr>
              <w:t>329+ days without merits hearing</w:t>
            </w:r>
          </w:p>
        </w:tc>
      </w:tr>
      <w:tr>
        <w:tc>
          <w:tcPr>
            <w:tcW w:type="dxa" w:w="3120"/>
          </w:tcPr>
          <w:p>
            <w:pPr>
              <w:spacing w:line="240" w:lineRule="auto"/>
            </w:pPr>
            <w:r/>
            <w:r>
              <w:rPr>
                <w:rFonts w:ascii="Times New Roman" w:hAnsi="Times New Roman"/>
                <w:b w:val="0"/>
                <w:i w:val="0"/>
                <w:sz w:val="24"/>
              </w:rPr>
              <w:t>Characterization</w:t>
            </w:r>
          </w:p>
        </w:tc>
        <w:tc>
          <w:tcPr>
            <w:tcW w:type="dxa" w:w="3120"/>
          </w:tcPr>
          <w:p>
            <w:pPr>
              <w:spacing w:line="240" w:lineRule="auto"/>
            </w:pPr>
            <w:r/>
            <w:r>
              <w:rPr>
                <w:rFonts w:ascii="Times New Roman" w:hAnsi="Times New Roman"/>
                <w:b w:val="0"/>
                <w:i w:val="0"/>
                <w:sz w:val="24"/>
              </w:rPr>
              <w:t>Protected party</w:t>
            </w:r>
          </w:p>
        </w:tc>
        <w:tc>
          <w:tcPr>
            <w:tcW w:type="dxa" w:w="3120"/>
          </w:tcPr>
          <w:p>
            <w:pPr>
              <w:spacing w:line="240" w:lineRule="auto"/>
            </w:pPr>
            <w:r/>
            <w:r>
              <w:rPr>
                <w:rFonts w:ascii="Times New Roman" w:hAnsi="Times New Roman"/>
                <w:b w:val="0"/>
                <w:i w:val="0"/>
                <w:sz w:val="24"/>
              </w:rPr>
              <w:t>"Harasser"</w:t>
            </w:r>
          </w:p>
        </w:tc>
      </w:tr>
    </w:tbl>
    <w:p>
      <w:pPr>
        <w:spacing w:line="480" w:lineRule="auto" w:after="240" w:before="0"/>
        <w:jc w:val="center"/>
      </w:pPr>
      <w:r>
        <w:rPr>
          <w:rFonts w:ascii="Times New Roman" w:hAnsi="Times New Roman"/>
          <w:b/>
          <w:i w:val="0"/>
          <w:sz w:val="24"/>
        </w:rPr>
        <w:t>IV. HARM TO THE ADMINISTRATION OF JUSTICE</w:t>
      </w:r>
    </w:p>
    <w:p>
      <w:pPr>
        <w:spacing w:line="480" w:lineRule="auto" w:after="0" w:before="0"/>
      </w:pPr>
      <w:r>
        <w:rPr>
          <w:rFonts w:ascii="Times New Roman" w:hAnsi="Times New Roman"/>
          <w:b/>
          <w:sz w:val="24"/>
        </w:rPr>
        <w:t xml:space="preserve">15. </w:t>
      </w:r>
      <w:r>
        <w:rPr>
          <w:rFonts w:ascii="Times New Roman" w:hAnsi="Times New Roman"/>
          <w:b w:val="0"/>
          <w:i w:val="0"/>
          <w:sz w:val="24"/>
        </w:rPr>
        <w:t>The conduct documented herein has resulted in:</w:t>
      </w:r>
    </w:p>
    <w:p>
      <w:pPr>
        <w:spacing w:line="480" w:lineRule="auto" w:after="0" w:before="0"/>
      </w:pPr>
      <w:r>
        <w:rPr>
          <w:rFonts w:ascii="Times New Roman" w:hAnsi="Times New Roman"/>
          <w:b w:val="0"/>
          <w:i w:val="0"/>
          <w:sz w:val="24"/>
        </w:rPr>
        <w:t xml:space="preserve">a. </w:t>
      </w:r>
      <w:r>
        <w:rPr>
          <w:rFonts w:ascii="Times New Roman" w:hAnsi="Times New Roman"/>
          <w:b/>
          <w:i w:val="0"/>
          <w:sz w:val="24"/>
        </w:rPr>
        <w:t>329+ days</w:t>
      </w:r>
      <w:r>
        <w:rPr>
          <w:rFonts w:ascii="Times New Roman" w:hAnsi="Times New Roman"/>
          <w:b w:val="0"/>
          <w:i w:val="0"/>
          <w:sz w:val="24"/>
        </w:rPr>
        <w:t xml:space="preserve"> of complete parent-child separation without a merits hearing — affecting a child under age 4 during the most critical developmental period;</w:t>
      </w:r>
    </w:p>
    <w:p>
      <w:pPr>
        <w:spacing w:line="480" w:lineRule="auto" w:after="0" w:before="0"/>
      </w:pPr>
      <w:r>
        <w:rPr>
          <w:rFonts w:ascii="Times New Roman" w:hAnsi="Times New Roman"/>
          <w:b w:val="0"/>
          <w:i w:val="0"/>
          <w:sz w:val="24"/>
        </w:rPr>
        <w:t>b. Erosion of public confidence in the impartiality of the 14th Judicial Circuit Court;</w:t>
      </w:r>
    </w:p>
    <w:p>
      <w:pPr>
        <w:spacing w:line="480" w:lineRule="auto" w:after="0" w:before="0"/>
      </w:pPr>
      <w:r>
        <w:rPr>
          <w:rFonts w:ascii="Times New Roman" w:hAnsi="Times New Roman"/>
          <w:b w:val="0"/>
          <w:i w:val="0"/>
          <w:sz w:val="24"/>
        </w:rPr>
        <w:t>c. Procedural violations that, if normalized, would render the due process safeguards of MCR 3.206, MCR 3.207, and MCR 2.517 meaningless;</w:t>
      </w:r>
    </w:p>
    <w:p>
      <w:pPr>
        <w:spacing w:line="480" w:lineRule="auto" w:after="0" w:before="0"/>
      </w:pPr>
      <w:r>
        <w:rPr>
          <w:rFonts w:ascii="Times New Roman" w:hAnsi="Times New Roman"/>
          <w:b w:val="0"/>
          <w:i w:val="0"/>
          <w:sz w:val="24"/>
        </w:rPr>
        <w:t>d. A chilling effect on pro se litigants, who witness their legal advocacy characterized as "harassment";</w:t>
      </w:r>
    </w:p>
    <w:p>
      <w:pPr>
        <w:spacing w:line="480" w:lineRule="auto" w:after="0" w:before="0"/>
      </w:pPr>
      <w:r>
        <w:rPr>
          <w:rFonts w:ascii="Times New Roman" w:hAnsi="Times New Roman"/>
          <w:b w:val="0"/>
          <w:i w:val="0"/>
          <w:sz w:val="24"/>
        </w:rPr>
        <w:t xml:space="preserve">e. </w:t>
      </w:r>
      <w:r>
        <w:rPr>
          <w:rFonts w:ascii="Times New Roman" w:hAnsi="Times New Roman"/>
          <w:b/>
          <w:i w:val="0"/>
          <w:sz w:val="24"/>
        </w:rPr>
        <w:t>Facilitation of parental alienation:</w:t>
      </w:r>
      <w:r>
        <w:rPr>
          <w:rFonts w:ascii="Times New Roman" w:hAnsi="Times New Roman"/>
          <w:b w:val="0"/>
          <w:i w:val="0"/>
          <w:sz w:val="24"/>
        </w:rPr>
        <w:t xml:space="preserve"> Judge McNeill's pattern of granting Defendant Watson's ex parte motions without scrutiny, while refusing to enforce MCL 722.27a(9)'s mandatory remedies for denial of parenting time, has enabled a systematic campaign of parental alienation in violation of MCL 722.23(j). Defendant Watson — employed for nine (9) years as a caseworker in the </w:t>
      </w:r>
      <w:r>
        <w:rPr>
          <w:rFonts w:ascii="Times New Roman" w:hAnsi="Times New Roman"/>
          <w:b/>
          <w:i w:val="0"/>
          <w:sz w:val="24"/>
        </w:rPr>
        <w:t>Kent County Prosecutor's Office, Family Court Division</w:t>
      </w:r>
      <w:r>
        <w:rPr>
          <w:rFonts w:ascii="Times New Roman" w:hAnsi="Times New Roman"/>
          <w:b w:val="0"/>
          <w:i w:val="0"/>
          <w:sz w:val="24"/>
        </w:rPr>
        <w:t xml:space="preserve"> — leveraged her institutional familiarity to obtain orders that severed the parent-child bond for </w:t>
      </w:r>
      <w:r>
        <w:rPr>
          <w:rFonts w:ascii="Times New Roman" w:hAnsi="Times New Roman"/>
          <w:b/>
          <w:i w:val="0"/>
          <w:sz w:val="24"/>
        </w:rPr>
        <w:t>329+ consecutive days</w:t>
      </w:r>
      <w:r>
        <w:rPr>
          <w:rFonts w:ascii="Times New Roman" w:hAnsi="Times New Roman"/>
          <w:b w:val="0"/>
          <w:i w:val="0"/>
          <w:sz w:val="24"/>
        </w:rPr>
        <w:t xml:space="preserve">. </w:t>
      </w:r>
      <w:r>
        <w:rPr>
          <w:rFonts w:ascii="Times New Roman" w:hAnsi="Times New Roman"/>
          <w:b w:val="0"/>
          <w:i/>
          <w:sz w:val="24"/>
        </w:rPr>
        <w:t>Harvey v Harvey</w:t>
      </w:r>
      <w:r>
        <w:rPr>
          <w:rFonts w:ascii="Times New Roman" w:hAnsi="Times New Roman"/>
          <w:b w:val="0"/>
          <w:i w:val="0"/>
          <w:sz w:val="24"/>
        </w:rPr>
        <w:t>, 470 Mich 186, 192 (2004), recognized Factor (j) as "an important consideration." Judge McNeill's failure to evaluate Factor (j) or enforce mandatory remedies has transformed the court into an instrument of alienation.</w:t>
      </w:r>
    </w:p>
    <w:p>
      <w:r>
        <w:br w:type="page"/>
      </w:r>
    </w:p>
    <w:p>
      <w:pPr>
        <w:spacing w:line="480" w:lineRule="auto" w:after="240" w:before="0"/>
        <w:jc w:val="center"/>
      </w:pPr>
      <w:r>
        <w:rPr>
          <w:rFonts w:ascii="Times New Roman" w:hAnsi="Times New Roman"/>
          <w:b/>
          <w:i w:val="0"/>
          <w:sz w:val="24"/>
        </w:rPr>
        <w:t>V. RELIEF REQUESTED</w:t>
      </w:r>
    </w:p>
    <w:p>
      <w:pPr>
        <w:spacing w:line="480" w:lineRule="auto" w:after="0" w:before="0"/>
      </w:pPr>
      <w:r>
        <w:rPr>
          <w:rFonts w:ascii="Times New Roman" w:hAnsi="Times New Roman"/>
          <w:b/>
          <w:i w:val="0"/>
          <w:sz w:val="24"/>
        </w:rPr>
        <w:t>WHEREFORE</w:t>
      </w:r>
      <w:r>
        <w:rPr>
          <w:rFonts w:ascii="Times New Roman" w:hAnsi="Times New Roman"/>
          <w:b w:val="0"/>
          <w:i w:val="0"/>
          <w:sz w:val="24"/>
        </w:rPr>
        <w:t>, Complainant respectfully requests that the Judicial Tenure Commission:</w:t>
      </w:r>
    </w:p>
    <w:p>
      <w:pPr>
        <w:spacing w:line="480" w:lineRule="auto" w:after="0" w:before="0"/>
      </w:pPr>
      <w:r>
        <w:rPr>
          <w:rFonts w:ascii="Times New Roman" w:hAnsi="Times New Roman"/>
          <w:b/>
          <w:sz w:val="24"/>
        </w:rPr>
        <w:t xml:space="preserve">1. </w:t>
      </w:r>
      <w:r>
        <w:rPr>
          <w:rFonts w:ascii="Times New Roman" w:hAnsi="Times New Roman"/>
          <w:b/>
          <w:i w:val="0"/>
          <w:sz w:val="24"/>
        </w:rPr>
        <w:t>Investigate</w:t>
      </w:r>
      <w:r>
        <w:rPr>
          <w:rFonts w:ascii="Times New Roman" w:hAnsi="Times New Roman"/>
          <w:b w:val="0"/>
          <w:i w:val="0"/>
          <w:sz w:val="24"/>
        </w:rPr>
        <w:t xml:space="preserve"> the conduct of Judge Jenny L. McNeill as documented herein and in the original Formal Complaint;</w:t>
      </w:r>
    </w:p>
    <w:p>
      <w:pPr>
        <w:spacing w:line="480" w:lineRule="auto" w:after="0" w:before="0"/>
      </w:pPr>
      <w:r>
        <w:rPr>
          <w:rFonts w:ascii="Times New Roman" w:hAnsi="Times New Roman"/>
          <w:b/>
          <w:sz w:val="24"/>
        </w:rPr>
        <w:t xml:space="preserve">2. </w:t>
      </w:r>
      <w:r>
        <w:rPr>
          <w:rFonts w:ascii="Times New Roman" w:hAnsi="Times New Roman"/>
          <w:b/>
          <w:i w:val="0"/>
          <w:sz w:val="24"/>
        </w:rPr>
        <w:t>Take appropriate disciplinary action</w:t>
      </w:r>
      <w:r>
        <w:rPr>
          <w:rFonts w:ascii="Times New Roman" w:hAnsi="Times New Roman"/>
          <w:b w:val="0"/>
          <w:i w:val="0"/>
          <w:sz w:val="24"/>
        </w:rPr>
        <w:t xml:space="preserve"> under MCR 9.205, which may include censure, suspension, or removal;</w:t>
      </w:r>
    </w:p>
    <w:p>
      <w:pPr>
        <w:spacing w:line="480" w:lineRule="auto" w:after="0" w:before="0"/>
      </w:pPr>
      <w:r>
        <w:rPr>
          <w:rFonts w:ascii="Times New Roman" w:hAnsi="Times New Roman"/>
          <w:b/>
          <w:sz w:val="24"/>
        </w:rPr>
        <w:t xml:space="preserve">3. </w:t>
      </w:r>
      <w:r>
        <w:rPr>
          <w:rFonts w:ascii="Times New Roman" w:hAnsi="Times New Roman"/>
          <w:b/>
          <w:i w:val="0"/>
          <w:sz w:val="24"/>
        </w:rPr>
        <w:t>Issue</w:t>
      </w:r>
      <w:r>
        <w:rPr>
          <w:rFonts w:ascii="Times New Roman" w:hAnsi="Times New Roman"/>
          <w:b w:val="0"/>
          <w:i w:val="0"/>
          <w:sz w:val="24"/>
        </w:rPr>
        <w:t xml:space="preserve"> such other orders as the Commission deems appropriate to protect the integrity of the judiciary and the rights of litigants before the 14th Judicial Circuit Court.</w:t>
      </w:r>
    </w:p>
    <w:p>
      <w:r>
        <w:br w:type="page"/>
      </w:r>
    </w:p>
    <w:p>
      <w:pPr>
        <w:spacing w:line="480" w:lineRule="auto" w:after="0" w:before="0"/>
      </w:pPr>
      <w:r>
        <w:rPr>
          <w:rFonts w:ascii="Times New Roman" w:hAnsi="Times New Roman"/>
          <w:b w:val="0"/>
          <w:i w:val="0"/>
          <w:sz w:val="24"/>
        </w:rPr>
        <w:t>Respectfully submitted,</w:t>
      </w:r>
    </w:p>
    <w:p>
      <w:r>
        <w:br w:type="page"/>
      </w:r>
    </w:p>
    <w:p>
      <w:pPr>
        <w:spacing w:line="480" w:lineRule="auto" w:after="0" w:before="0"/>
      </w:pPr>
      <w:r>
        <w:rPr>
          <w:rFonts w:ascii="Times New Roman" w:hAnsi="Times New Roman"/>
          <w:b w:val="0"/>
          <w:i w:val="0"/>
          <w:sz w:val="24"/>
        </w:rPr>
        <w:t>Andrew J. Pigors, Complainant 1977 Whitehall Road, Lot 17 Laketon Township, Michigan 49445 Telephone: (231) 903-5690</w:t>
      </w:r>
    </w:p>
    <w:p>
      <w:pPr>
        <w:spacing w:line="480" w:lineRule="auto" w:after="0" w:before="0"/>
      </w:pPr>
      <w:r>
        <w:rPr>
          <w:rFonts w:ascii="Times New Roman" w:hAnsi="Times New Roman"/>
          <w:b w:val="0"/>
          <w:i w:val="0"/>
          <w:sz w:val="24"/>
        </w:rPr>
        <w:t>Date: _________________</w:t>
      </w:r>
    </w:p>
    <w:p>
      <w:r>
        <w:br w:type="page"/>
      </w:r>
    </w:p>
    <w:p>
      <w:pPr>
        <w:spacing w:line="480" w:lineRule="auto" w:after="240" w:before="0"/>
        <w:jc w:val="center"/>
      </w:pPr>
      <w:r>
        <w:rPr>
          <w:rFonts w:ascii="Times New Roman" w:hAnsi="Times New Roman"/>
          <w:b/>
          <w:i w:val="0"/>
          <w:sz w:val="24"/>
        </w:rPr>
        <w:t>CERTIFICATE OF SERVICE</w:t>
      </w:r>
    </w:p>
    <w:p>
      <w:pPr>
        <w:spacing w:line="480" w:lineRule="auto" w:after="0" w:before="0"/>
      </w:pPr>
      <w:r>
        <w:rPr>
          <w:rFonts w:ascii="Times New Roman" w:hAnsi="Times New Roman"/>
          <w:b w:val="0"/>
          <w:i w:val="0"/>
          <w:sz w:val="24"/>
        </w:rPr>
        <w:t>I, Andrew J. Pigors, certify that on _________________, 2026, I served a true copy of this Supplemental Brief on:</w:t>
      </w:r>
    </w:p>
    <w:p>
      <w:pPr>
        <w:spacing w:line="480" w:lineRule="auto" w:after="0" w:before="0"/>
      </w:pPr>
      <w:r>
        <w:rPr>
          <w:rFonts w:ascii="Times New Roman" w:hAnsi="Times New Roman"/>
          <w:b/>
          <w:i w:val="0"/>
          <w:sz w:val="24"/>
        </w:rPr>
        <w:t>Judicial Tenure Commission:</w:t>
      </w:r>
      <w:r>
        <w:rPr>
          <w:rFonts w:ascii="Times New Roman" w:hAnsi="Times New Roman"/>
          <w:b w:val="0"/>
          <w:i w:val="0"/>
          <w:sz w:val="24"/>
        </w:rPr>
        <w:t xml:space="preserve"> Michigan Judicial Tenure Commission 3034 W. Grand Blvd., Suite 8-450 Detroit, Michigan 48202</w:t>
      </w:r>
    </w:p>
    <w:p>
      <w:pPr>
        <w:spacing w:line="480" w:lineRule="auto" w:after="0" w:before="0"/>
      </w:pPr>
      <w:r>
        <w:rPr>
          <w:rFonts w:ascii="Times New Roman" w:hAnsi="Times New Roman"/>
          <w:b/>
          <w:i w:val="0"/>
          <w:sz w:val="24"/>
        </w:rPr>
        <w:t>Subject Judge:</w:t>
      </w:r>
      <w:r>
        <w:rPr>
          <w:rFonts w:ascii="Times New Roman" w:hAnsi="Times New Roman"/>
          <w:b w:val="0"/>
          <w:i w:val="0"/>
          <w:sz w:val="24"/>
        </w:rPr>
        <w:t xml:space="preserve"> Hon. Jenny L. McNeill 14th Judicial Circuit Court 990 Terrace Street Muskegon, Michigan 49442</w:t>
      </w:r>
    </w:p>
    <w:p>
      <w:pPr>
        <w:spacing w:line="480" w:lineRule="auto" w:after="0" w:before="0"/>
      </w:pPr>
      <w:r>
        <w:rPr>
          <w:rFonts w:ascii="Times New Roman" w:hAnsi="Times New Roman"/>
          <w:b w:val="0"/>
          <w:i w:val="0"/>
          <w:sz w:val="24"/>
        </w:rPr>
        <w:t>Method: [First-class mail / Electronic filing]</w:t>
      </w:r>
    </w:p>
    <w:p>
      <w:r>
        <w:br w:type="page"/>
      </w:r>
    </w:p>
    <w:p>
      <w:pPr>
        <w:spacing w:line="480" w:lineRule="auto" w:after="0" w:before="0"/>
      </w:pPr>
      <w:r>
        <w:rPr>
          <w:rFonts w:ascii="Times New Roman" w:hAnsi="Times New Roman"/>
          <w:b w:val="0"/>
          <w:i w:val="0"/>
          <w:sz w:val="24"/>
        </w:rPr>
        <w:t>Andrew J. Pigors, Complainant</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Simple w:instr=" PAGE \* MERGEFORMAT ">
        <w:r>
          <w:t>1</w:t>
        </w:r>
      </w:fldSimpl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