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EXHIBIT SLIP-SHEET BINDER (A–L)</w:t>
      </w:r>
    </w:p>
    <w:p>
      <w:pPr>
        <w:pStyle w:val="BodyText"/>
        <w:jc w:val="center"/>
      </w:pPr>
      <w:r>
        <w:t>Prepared for: Andrew J. Pigors — 2025-10-29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Purpose: Binder-ready insert of JTC RFI Supplemental Exhibits (A–L).</w:t>
      </w:r>
    </w:p>
    <w:p>
      <w:pPr>
        <w:jc w:val="center"/>
      </w:pPr>
      <w:r>
        <w:rPr>
          <w:b/>
          <w:sz w:val="56"/>
        </w:rPr>
        <w:t>EXHIBIT A</w:t>
      </w:r>
    </w:p>
    <w:p>
      <w:pPr>
        <w:pStyle w:val="BodyText"/>
        <w:jc w:val="center"/>
      </w:pPr>
      <w:r>
        <w:t>AppClose Message Log (04/01/2024–04/30/2025)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Requests to exercise parenting time; ignored messages.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B</w:t>
      </w:r>
    </w:p>
    <w:p>
      <w:pPr>
        <w:pStyle w:val="BodyText"/>
        <w:jc w:val="center"/>
      </w:pPr>
      <w:r>
        <w:t>Photos of Lincoln (07/29/2025)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Child safe and content with father prior to suspension.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C</w:t>
      </w:r>
    </w:p>
    <w:p>
      <w:pPr>
        <w:pStyle w:val="BodyText"/>
        <w:jc w:val="center"/>
      </w:pPr>
      <w:r>
        <w:t>Ex Parte Order (08/08/2025)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Parenting time suspended; no sworn, child-specific findings.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D</w:t>
      </w:r>
    </w:p>
    <w:p>
      <w:pPr>
        <w:pStyle w:val="BodyText"/>
        <w:jc w:val="center"/>
      </w:pPr>
      <w:r>
        <w:t>Interim Order (09/09/2025)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Suspension continued “until further order” without findings.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E</w:t>
      </w:r>
    </w:p>
    <w:p>
      <w:pPr>
        <w:pStyle w:val="BodyText"/>
        <w:jc w:val="center"/>
      </w:pPr>
      <w:r>
        <w:t>Emails from Chambers (09/01–09/05/2025)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Directive to email HealthWest evaluation (off-docket).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F</w:t>
      </w:r>
    </w:p>
    <w:p>
      <w:pPr>
        <w:pStyle w:val="BodyText"/>
        <w:jc w:val="center"/>
      </w:pPr>
      <w:r>
        <w:t>HealthWest Evaluation (09/05/2025)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Submitted to chambers per directive.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G</w:t>
      </w:r>
    </w:p>
    <w:p>
      <w:pPr>
        <w:pStyle w:val="BodyText"/>
        <w:jc w:val="center"/>
      </w:pPr>
      <w:r>
        <w:t>USB Handling Evidence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Proof of staff pre-listening; date of filer’s first access.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H</w:t>
      </w:r>
    </w:p>
    <w:p>
      <w:pPr>
        <w:pStyle w:val="BodyText"/>
        <w:jc w:val="center"/>
      </w:pPr>
      <w:r>
        <w:t>Transcript (Oct 2024 Hearing)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Muting/curtailment; witness/notice anomaly.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I</w:t>
      </w:r>
    </w:p>
    <w:p>
      <w:pPr>
        <w:pStyle w:val="BodyText"/>
        <w:jc w:val="center"/>
      </w:pPr>
      <w:r>
        <w:t>Police Reports (03/26, 03/29, 04/02/2024)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Non-criminal exchanges; context.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J</w:t>
      </w:r>
    </w:p>
    <w:p>
      <w:pPr>
        <w:pStyle w:val="BodyText"/>
        <w:jc w:val="center"/>
      </w:pPr>
      <w:r>
        <w:t>NSPD Confirmation (re: “meth” allegation attribution)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Clarifies attribution and context.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K</w:t>
      </w:r>
    </w:p>
    <w:p>
      <w:pPr>
        <w:pStyle w:val="BodyText"/>
        <w:jc w:val="center"/>
      </w:pPr>
      <w:r>
        <w:t>Show Cause #3–#5 Proof-of-Service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Timing, method (&lt;5 days; during parenting time). Copy appended by filer.</w:t>
      </w:r>
    </w:p>
    <w:p>
      <w:r>
        <w:br w:type="page"/>
      </w:r>
    </w:p>
    <w:p>
      <w:pPr>
        <w:jc w:val="center"/>
      </w:pPr>
      <w:r>
        <w:rPr>
          <w:b/>
          <w:sz w:val="56"/>
        </w:rPr>
        <w:t>EXHIBIT L</w:t>
      </w:r>
    </w:p>
    <w:p>
      <w:pPr>
        <w:pStyle w:val="BodyText"/>
        <w:jc w:val="center"/>
      </w:pPr>
      <w:r>
        <w:t>Register of Actions Excerpts</w:t>
      </w:r>
    </w:p>
    <w:p>
      <w:pPr>
        <w:pStyle w:val="BodyText"/>
      </w:pPr>
      <w:r>
        <w:t>Case: Pigors v. Watson — 14th Judicial Circuit Court — Case No. 2024-001507-DC</w:t>
      </w:r>
    </w:p>
    <w:p>
      <w:pPr>
        <w:pStyle w:val="BodyText"/>
      </w:pPr>
      <w:r>
        <w:t>Attached: Copy of record described below (submitted as JTC RFI Supplemental Exhibit).</w:t>
      </w:r>
    </w:p>
    <w:p>
      <w:pPr>
        <w:pStyle w:val="BodyText"/>
      </w:pPr>
      <w:r>
        <w:br/>
        <w:t>Description / Relevance:</w:t>
      </w:r>
    </w:p>
    <w:p>
      <w:pPr>
        <w:pStyle w:val="BodyText"/>
      </w:pPr>
      <w:r>
        <w:t>Case shown “closed” 08/23/2024; later hearings/orders. Copy appended by filer.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Exhibit Slip-Sheet Binder — Pigors v. Watson — 14th Cir. 2024-001507-DC  Page </w:t>
    </w:r>
    <w:fldChar w:fldCharType="begin"/>
    <w:instrText xml:space="preserve"> PAGE </w:instrText>
    <w:fldChar w:fldCharType="separate"/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