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i w:val="0"/>
          <w:sz w:val="26"/>
          <w:u w:val="none"/>
        </w:rPr>
        <w:t>JUDICIAL TENURE COMMISSION</w:t>
      </w:r>
    </w:p>
    <w:p>
      <w:pPr>
        <w:spacing w:after="0" w:before="0" w:line="480" w:lineRule="auto"/>
        <w:jc w:val="center"/>
      </w:pPr>
      <w:r>
        <w:rPr>
          <w:rFonts w:ascii="Times New Roman" w:hAnsi="Times New Roman"/>
          <w:b/>
          <w:i w:val="0"/>
          <w:sz w:val="26"/>
          <w:u w:val="none"/>
        </w:rPr>
        <w:t>STATE OF MICHIGAN</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FORMAL COMPLAINT REQUESTING INVESTIGATION</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i w:val="0"/>
          <w:sz w:val="24"/>
          <w:u w:val="none"/>
        </w:rPr>
        <w:t>Complainant:</w:t>
      </w:r>
      <w:r>
        <w:rPr>
          <w:rFonts w:ascii="Times New Roman" w:hAnsi="Times New Roman"/>
          <w:b w:val="0"/>
          <w:i w:val="0"/>
          <w:sz w:val="24"/>
          <w:u w:val="none"/>
        </w:rPr>
        <w:t xml:space="preserve"> Andrew Pigors, Pro Se</w:t>
      </w:r>
    </w:p>
    <w:p>
      <w:pPr>
        <w:spacing w:after="0" w:before="0" w:line="480" w:lineRule="auto"/>
        <w:ind w:firstLine="720"/>
        <w:jc w:val="left"/>
      </w:pPr>
      <w:r>
        <w:rPr>
          <w:rFonts w:ascii="Times New Roman" w:hAnsi="Times New Roman"/>
          <w:b w:val="0"/>
          <w:i w:val="0"/>
          <w:sz w:val="24"/>
          <w:u w:val="none"/>
        </w:rPr>
        <w:t>1977 Whitehall Road, Lot 17</w:t>
      </w:r>
    </w:p>
    <w:p>
      <w:pPr>
        <w:spacing w:after="0" w:before="0" w:line="480" w:lineRule="auto"/>
        <w:ind w:firstLine="720"/>
        <w:jc w:val="left"/>
      </w:pPr>
      <w:r>
        <w:rPr>
          <w:rFonts w:ascii="Times New Roman" w:hAnsi="Times New Roman"/>
          <w:b w:val="0"/>
          <w:i w:val="0"/>
          <w:sz w:val="24"/>
          <w:u w:val="none"/>
        </w:rPr>
        <w:t>Muskegon, MI 49445</w:t>
      </w:r>
    </w:p>
    <w:p>
      <w:pPr>
        <w:spacing w:after="0" w:before="0" w:line="480" w:lineRule="auto"/>
        <w:ind w:firstLine="720"/>
        <w:jc w:val="left"/>
      </w:pPr>
      <w:r>
        <w:rPr>
          <w:rFonts w:ascii="Times New Roman" w:hAnsi="Times New Roman"/>
          <w:b w:val="0"/>
          <w:i w:val="0"/>
          <w:sz w:val="24"/>
          <w:u w:val="none"/>
        </w:rPr>
        <w:t>(231) 903-5690</w:t>
      </w:r>
    </w:p>
    <w:p>
      <w:pPr>
        <w:spacing w:after="0" w:before="0" w:line="480" w:lineRule="auto"/>
        <w:ind w:firstLine="720"/>
        <w:jc w:val="left"/>
      </w:pPr>
      <w:r>
        <w:rPr>
          <w:rFonts w:ascii="Times New Roman" w:hAnsi="Times New Roman"/>
          <w:b w:val="0"/>
          <w:i w:val="0"/>
          <w:sz w:val="24"/>
          <w:u w:val="none"/>
        </w:rPr>
        <w:t>andrewpigors@gmail.com</w:t>
      </w:r>
    </w:p>
    <w:p>
      <w:pPr>
        <w:spacing w:after="0" w:before="0" w:line="480" w:lineRule="auto"/>
        <w:ind w:firstLine="720"/>
        <w:jc w:val="left"/>
      </w:pPr>
      <w:r>
        <w:rPr>
          <w:rFonts w:ascii="Times New Roman" w:hAnsi="Times New Roman"/>
          <w:b/>
          <w:i w:val="0"/>
          <w:sz w:val="24"/>
          <w:u w:val="none"/>
        </w:rPr>
        <w:t>Date of Complaint:</w:t>
      </w:r>
      <w:r>
        <w:rPr>
          <w:rFonts w:ascii="Times New Roman" w:hAnsi="Times New Roman"/>
          <w:b w:val="0"/>
          <w:i w:val="0"/>
          <w:sz w:val="24"/>
          <w:u w:val="none"/>
        </w:rPr>
        <w:t xml:space="preserve"> _______________, 2026</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i w:val="0"/>
          <w:sz w:val="24"/>
          <w:u w:val="none"/>
        </w:rPr>
        <w:t>Judicial Tenure Commission</w:t>
      </w:r>
    </w:p>
    <w:p>
      <w:pPr>
        <w:spacing w:after="0" w:before="0" w:line="480" w:lineRule="auto"/>
        <w:ind w:firstLine="720"/>
        <w:jc w:val="left"/>
      </w:pPr>
      <w:r>
        <w:rPr>
          <w:rFonts w:ascii="Times New Roman" w:hAnsi="Times New Roman"/>
          <w:b w:val="0"/>
          <w:i w:val="0"/>
          <w:sz w:val="24"/>
          <w:u w:val="none"/>
        </w:rPr>
        <w:t>3034 W. Grand Blvd., Suite 8-450</w:t>
      </w:r>
    </w:p>
    <w:p>
      <w:pPr>
        <w:spacing w:after="0" w:before="0" w:line="480" w:lineRule="auto"/>
        <w:ind w:firstLine="720"/>
        <w:jc w:val="left"/>
      </w:pPr>
      <w:r>
        <w:rPr>
          <w:rFonts w:ascii="Times New Roman" w:hAnsi="Times New Roman"/>
          <w:b w:val="0"/>
          <w:i w:val="0"/>
          <w:sz w:val="24"/>
          <w:u w:val="none"/>
        </w:rPr>
        <w:t>Detroit, MI 48202</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 COMPLAINANT INFORMATION</w:t>
      </w:r>
    </w:p>
    <w:p>
      <w:pPr>
        <w:spacing w:after="0" w:before="0" w:line="480" w:lineRule="auto"/>
        <w:ind w:firstLine="720"/>
        <w:jc w:val="left"/>
      </w:pPr>
      <w:r>
        <w:rPr>
          <w:rFonts w:ascii="Times New Roman" w:hAnsi="Times New Roman"/>
          <w:b/>
          <w:i w:val="0"/>
          <w:sz w:val="24"/>
          <w:u w:val="none"/>
        </w:rPr>
        <w:t xml:space="preserve">1. </w:t>
      </w:r>
      <w:r>
        <w:rPr>
          <w:rFonts w:ascii="Times New Roman" w:hAnsi="Times New Roman"/>
          <w:b w:val="0"/>
          <w:i w:val="0"/>
          <w:sz w:val="24"/>
          <w:u w:val="none"/>
        </w:rPr>
        <w:t xml:space="preserve">Complainant Andrew Pigors is a pro se litigant and the father of LDW, a minor child born in 2022. Complainant appears in two cases before the Respondent judge: </w:t>
      </w:r>
      <w:r>
        <w:rPr>
          <w:rFonts w:ascii="Times New Roman" w:hAnsi="Times New Roman"/>
          <w:b w:val="0"/>
          <w:i/>
          <w:sz w:val="24"/>
          <w:u w:val="none"/>
        </w:rPr>
        <w:t>Pigors v. Watson</w:t>
      </w:r>
      <w:r>
        <w:rPr>
          <w:rFonts w:ascii="Times New Roman" w:hAnsi="Times New Roman"/>
          <w:b w:val="0"/>
          <w:i w:val="0"/>
          <w:sz w:val="24"/>
          <w:u w:val="none"/>
        </w:rPr>
        <w:t>, Case No. 2024-001507-DC (Custody/Parenting Time) and Case No. 2023-5907-PP (Personal Protection Order), both in the 14th Circuit Court, Muskegon County, Michigan.</w:t>
      </w:r>
    </w:p>
    <w:p>
      <w:pPr>
        <w:spacing w:after="0" w:before="0" w:line="480" w:lineRule="auto"/>
        <w:ind w:firstLine="720"/>
        <w:jc w:val="left"/>
      </w:pPr>
      <w:r>
        <w:rPr>
          <w:rFonts w:ascii="Times New Roman" w:hAnsi="Times New Roman"/>
          <w:b/>
          <w:i w:val="0"/>
          <w:sz w:val="24"/>
          <w:u w:val="none"/>
        </w:rPr>
        <w:t xml:space="preserve">2. </w:t>
      </w:r>
      <w:r>
        <w:rPr>
          <w:rFonts w:ascii="Times New Roman" w:hAnsi="Times New Roman"/>
          <w:b w:val="0"/>
          <w:i w:val="0"/>
          <w:sz w:val="24"/>
          <w:u w:val="none"/>
        </w:rPr>
        <w:t>This Complaint is filed pursuant to Const 1963, art 6, § 30 and MCR 9.220, which provides that "[a]ny person may file a request for investigation of a judge." This Complaint is verified on oath as required by MCR 9.220.</w:t>
      </w:r>
    </w:p>
    <w:p>
      <w:pPr>
        <w:spacing w:after="0" w:before="0" w:line="480" w:lineRule="auto"/>
        <w:ind w:firstLine="720"/>
        <w:jc w:val="left"/>
      </w:pPr>
      <w:r>
        <w:rPr>
          <w:rFonts w:ascii="Times New Roman" w:hAnsi="Times New Roman"/>
          <w:b/>
          <w:i w:val="0"/>
          <w:sz w:val="24"/>
          <w:u w:val="none"/>
        </w:rPr>
        <w:t xml:space="preserve">3. </w:t>
      </w:r>
      <w:r>
        <w:rPr>
          <w:rFonts w:ascii="Times New Roman" w:hAnsi="Times New Roman"/>
          <w:b w:val="0"/>
          <w:i w:val="0"/>
          <w:sz w:val="24"/>
          <w:u w:val="none"/>
        </w:rPr>
        <w:t>Complainant files this Complaint not to seek appellate review of judicial rulings, but to report a documented pattern of judicial misconduct, persistent failure to perform mandatory judicial duties, and conduct clearly prejudicial to the administration of justice, all within the meaning of MCR 9.202(B).</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II. JUDGE INFORMATION</w:t>
      </w:r>
    </w:p>
    <w:p>
      <w:pPr>
        <w:spacing w:after="0" w:before="0" w:line="480" w:lineRule="auto"/>
        <w:ind w:firstLine="720"/>
        <w:jc w:val="left"/>
      </w:pPr>
      <w:r>
        <w:rPr>
          <w:rFonts w:ascii="Times New Roman" w:hAnsi="Times New Roman"/>
          <w:b/>
          <w:i w:val="0"/>
          <w:sz w:val="24"/>
          <w:u w:val="none"/>
        </w:rPr>
        <w:t xml:space="preserve">4. </w:t>
      </w:r>
      <w:r>
        <w:rPr>
          <w:rFonts w:ascii="Times New Roman" w:hAnsi="Times New Roman"/>
          <w:b w:val="0"/>
          <w:i w:val="0"/>
          <w:sz w:val="24"/>
          <w:u w:val="none"/>
        </w:rPr>
        <w:t>Respondent is the Honorable Jenny L. McNeill (P-58235), a judge of the 14th Circuit Court, Muskegon County, Michigan.</w:t>
      </w:r>
    </w:p>
    <w:p>
      <w:pPr>
        <w:spacing w:after="0" w:before="0" w:line="480" w:lineRule="auto"/>
        <w:ind w:firstLine="720"/>
        <w:jc w:val="left"/>
      </w:pPr>
      <w:r>
        <w:rPr>
          <w:rFonts w:ascii="Times New Roman" w:hAnsi="Times New Roman"/>
          <w:b/>
          <w:i w:val="0"/>
          <w:sz w:val="24"/>
          <w:u w:val="none"/>
        </w:rPr>
        <w:t xml:space="preserve">5. </w:t>
      </w:r>
      <w:r>
        <w:rPr>
          <w:rFonts w:ascii="Times New Roman" w:hAnsi="Times New Roman"/>
          <w:b w:val="0"/>
          <w:i w:val="0"/>
          <w:sz w:val="24"/>
          <w:u w:val="none"/>
        </w:rPr>
        <w:t>Respondent has presided over both the custody case (No. 2024-001507-DC) and the PPO case (No. 2023-5907-PP) since their inception, creating a consolidated pattern of conduct spanning 27+ months (October 2023 through present).</w:t>
      </w:r>
    </w:p>
    <w:p>
      <w:pPr>
        <w:spacing w:after="0" w:before="0" w:line="480" w:lineRule="auto"/>
        <w:ind w:firstLine="720"/>
        <w:jc w:val="left"/>
      </w:pPr>
      <w:r>
        <w:rPr>
          <w:rFonts w:ascii="Times New Roman" w:hAnsi="Times New Roman"/>
          <w:b/>
          <w:i w:val="0"/>
          <w:sz w:val="24"/>
          <w:u w:val="none"/>
        </w:rPr>
        <w:t xml:space="preserve">6. </w:t>
      </w:r>
      <w:r>
        <w:rPr>
          <w:rFonts w:ascii="Times New Roman" w:hAnsi="Times New Roman"/>
          <w:b w:val="0"/>
          <w:i w:val="0"/>
          <w:sz w:val="24"/>
          <w:u w:val="none"/>
        </w:rPr>
        <w:t>The misconduct documented herein encompasses 1,127 judicial violations catalogued from official court records, 504 benchbook deviations from Michigan Judicial Institute standards, and a 43.6% ex parte order rate (24 of 55 total orders entered without notice to Complainant).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III. NATURE OF COMPLAINT</w:t>
      </w:r>
    </w:p>
    <w:p>
      <w:pPr>
        <w:spacing w:after="0" w:before="0" w:line="480" w:lineRule="auto"/>
        <w:ind w:firstLine="720"/>
        <w:jc w:val="left"/>
      </w:pPr>
      <w:r>
        <w:rPr>
          <w:rFonts w:ascii="Times New Roman" w:hAnsi="Times New Roman"/>
          <w:b/>
          <w:i w:val="0"/>
          <w:sz w:val="24"/>
          <w:u w:val="none"/>
        </w:rPr>
        <w:t xml:space="preserve">7. </w:t>
      </w:r>
      <w:r>
        <w:rPr>
          <w:rFonts w:ascii="Times New Roman" w:hAnsi="Times New Roman"/>
          <w:b w:val="0"/>
          <w:i w:val="0"/>
          <w:sz w:val="24"/>
          <w:u w:val="none"/>
        </w:rPr>
        <w:t>This Complaint documents a sustained, quantifiable pattern of judicial misconduct — not an isolated ruling or disagreement over legal interpretation. The evidence is drawn entirely from official court records, filed documents, and hearing transcripts.</w:t>
      </w:r>
    </w:p>
    <w:p>
      <w:pPr>
        <w:spacing w:after="0" w:before="0" w:line="480" w:lineRule="auto"/>
        <w:ind w:firstLine="720"/>
        <w:jc w:val="left"/>
      </w:pPr>
      <w:r>
        <w:rPr>
          <w:rFonts w:ascii="Times New Roman" w:hAnsi="Times New Roman"/>
          <w:b/>
          <w:i w:val="0"/>
          <w:sz w:val="24"/>
          <w:u w:val="none"/>
        </w:rPr>
        <w:t xml:space="preserve">8. </w:t>
      </w:r>
      <w:r>
        <w:rPr>
          <w:rFonts w:ascii="Times New Roman" w:hAnsi="Times New Roman"/>
          <w:b w:val="0"/>
          <w:i w:val="0"/>
          <w:sz w:val="24"/>
          <w:u w:val="none"/>
        </w:rPr>
        <w:t>MCR 9.202(B) identifies three independent grounds for discipline, all of which are met:</w:t>
      </w:r>
    </w:p>
    <w:p>
      <w:pPr>
        <w:spacing w:after="0" w:before="0" w:line="480" w:lineRule="auto"/>
        <w:ind w:firstLine="720"/>
        <w:jc w:val="left"/>
      </w:pPr>
      <w:r>
        <w:rPr>
          <w:rFonts w:ascii="Times New Roman" w:hAnsi="Times New Roman"/>
          <w:b w:val="0"/>
          <w:i w:val="0"/>
          <w:sz w:val="24"/>
          <w:u w:val="none"/>
        </w:rPr>
        <w:t xml:space="preserve">(a) </w:t>
      </w:r>
      <w:r>
        <w:rPr>
          <w:rFonts w:ascii="Times New Roman" w:hAnsi="Times New Roman"/>
          <w:b/>
          <w:i w:val="0"/>
          <w:sz w:val="24"/>
          <w:u w:val="none"/>
        </w:rPr>
        <w:t>Misconduct in office</w:t>
      </w:r>
      <w:r>
        <w:rPr>
          <w:rFonts w:ascii="Times New Roman" w:hAnsi="Times New Roman"/>
          <w:b w:val="0"/>
          <w:i w:val="0"/>
          <w:sz w:val="24"/>
          <w:u w:val="none"/>
        </w:rPr>
        <w:t xml:space="preserve"> — 1,127 documented judicial violations, including 377 rated critical severity and 243 rated high severity, across every relevant Canon of the Michigan Code of Judicial Conduct.</w:t>
      </w:r>
    </w:p>
    <w:p>
      <w:pPr>
        <w:spacing w:after="0" w:before="0" w:line="480" w:lineRule="auto"/>
        <w:ind w:firstLine="720"/>
        <w:jc w:val="left"/>
      </w:pPr>
      <w:r>
        <w:rPr>
          <w:rFonts w:ascii="Times New Roman" w:hAnsi="Times New Roman"/>
          <w:b w:val="0"/>
          <w:i w:val="0"/>
          <w:sz w:val="24"/>
          <w:u w:val="none"/>
        </w:rPr>
        <w:t xml:space="preserve">(b) </w:t>
      </w:r>
      <w:r>
        <w:rPr>
          <w:rFonts w:ascii="Times New Roman" w:hAnsi="Times New Roman"/>
          <w:b/>
          <w:i w:val="0"/>
          <w:sz w:val="24"/>
          <w:u w:val="none"/>
        </w:rPr>
        <w:t>Persistent failure to perform judicial duties</w:t>
      </w:r>
      <w:r>
        <w:rPr>
          <w:rFonts w:ascii="Times New Roman" w:hAnsi="Times New Roman"/>
          <w:b w:val="0"/>
          <w:i w:val="0"/>
          <w:sz w:val="24"/>
          <w:u w:val="none"/>
        </w:rPr>
        <w:t xml:space="preserve"> — 24 ex parte orders entered without the mandatory verified factual showing required by MCR 3.207(B)(1); failure to hold best-interest hearings under MCL 722.23; failure to enforce parenting time under MCL 552.511b (99 benchbook violations); failure to refer disqualification motions to the Chief Judge under MCR 2.003(D).</w:t>
      </w:r>
    </w:p>
    <w:p>
      <w:pPr>
        <w:spacing w:after="0" w:before="0" w:line="480" w:lineRule="auto"/>
        <w:ind w:firstLine="720"/>
        <w:jc w:val="left"/>
      </w:pPr>
      <w:r>
        <w:rPr>
          <w:rFonts w:ascii="Times New Roman" w:hAnsi="Times New Roman"/>
          <w:b w:val="0"/>
          <w:i w:val="0"/>
          <w:sz w:val="24"/>
          <w:u w:val="none"/>
        </w:rPr>
        <w:t xml:space="preserve">(c) </w:t>
      </w:r>
      <w:r>
        <w:rPr>
          <w:rFonts w:ascii="Times New Roman" w:hAnsi="Times New Roman"/>
          <w:b/>
          <w:i w:val="0"/>
          <w:sz w:val="24"/>
          <w:u w:val="none"/>
        </w:rPr>
        <w:t>Conduct clearly prejudicial to the administration of justice</w:t>
      </w:r>
      <w:r>
        <w:rPr>
          <w:rFonts w:ascii="Times New Roman" w:hAnsi="Times New Roman"/>
          <w:b w:val="0"/>
          <w:i w:val="0"/>
          <w:sz w:val="24"/>
          <w:u w:val="none"/>
        </w:rPr>
        <w:t xml:space="preserve"> — A 43.6% ex parte order rate; 504 benchbook deviations; muting a pro se litigant at hearings; imposing a $250 filing bond that restricts court access; and facilitating a 567+ day parent-child separation without the required statutory findings.</w:t>
      </w:r>
    </w:p>
    <w:p>
      <w:pPr>
        <w:spacing w:after="0" w:before="0" w:line="480" w:lineRule="auto"/>
        <w:ind w:firstLine="720"/>
        <w:jc w:val="left"/>
      </w:pPr>
      <w:r>
        <w:rPr>
          <w:rFonts w:ascii="Times New Roman" w:hAnsi="Times New Roman"/>
          <w:b/>
          <w:i w:val="0"/>
          <w:sz w:val="24"/>
          <w:u w:val="none"/>
        </w:rPr>
        <w:t xml:space="preserve">9. </w:t>
      </w:r>
      <w:r>
        <w:rPr>
          <w:rFonts w:ascii="Times New Roman" w:hAnsi="Times New Roman"/>
          <w:b w:val="0"/>
          <w:i w:val="0"/>
          <w:sz w:val="24"/>
          <w:u w:val="none"/>
        </w:rPr>
        <w:t>The following nine counts set forth specific Canon and rule violations with supporting evidence from the court record.</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I: CANON 3(B)(5) — EX PARTE COMMUNICATIONS AND ORDERS</w:t>
      </w:r>
    </w:p>
    <w:p>
      <w:pPr>
        <w:spacing w:after="0" w:before="0" w:line="480" w:lineRule="auto"/>
        <w:jc w:val="left"/>
      </w:pPr>
      <w:r>
        <w:rPr>
          <w:rFonts w:ascii="Times New Roman" w:hAnsi="Times New Roman"/>
          <w:b/>
          <w:i w:val="0"/>
          <w:sz w:val="24"/>
          <w:u w:val="single"/>
        </w:rPr>
        <w:t>THE BACKBONE VIOLATION: 24 OF 55 ORDERS (43.6%) ENTERED EX PARTE</w:t>
      </w:r>
    </w:p>
    <w:p>
      <w:pPr>
        <w:spacing w:after="0" w:before="0" w:line="480" w:lineRule="auto"/>
        <w:ind w:firstLine="720"/>
        <w:jc w:val="left"/>
      </w:pPr>
      <w:r>
        <w:rPr>
          <w:rFonts w:ascii="Times New Roman" w:hAnsi="Times New Roman"/>
          <w:b/>
          <w:i w:val="0"/>
          <w:sz w:val="24"/>
          <w:u w:val="none"/>
        </w:rPr>
        <w:t xml:space="preserve">10. </w:t>
      </w:r>
      <w:r>
        <w:rPr>
          <w:rFonts w:ascii="Times New Roman" w:hAnsi="Times New Roman"/>
          <w:b w:val="0"/>
          <w:i w:val="0"/>
          <w:sz w:val="24"/>
          <w:u w:val="none"/>
        </w:rPr>
        <w:t>Canon 3(B)(5) of the Michigan Code of Judicial Conduct provides: "A judge shall not initiate, permit, or consider ex parte communications concerning a pending or impending proceeding."</w:t>
      </w:r>
    </w:p>
    <w:p>
      <w:pPr>
        <w:spacing w:after="0" w:before="0" w:line="480" w:lineRule="auto"/>
        <w:ind w:firstLine="720"/>
        <w:jc w:val="left"/>
      </w:pPr>
      <w:r>
        <w:rPr>
          <w:rFonts w:ascii="Times New Roman" w:hAnsi="Times New Roman"/>
          <w:b/>
          <w:i w:val="0"/>
          <w:sz w:val="24"/>
          <w:u w:val="none"/>
        </w:rPr>
        <w:t xml:space="preserve">11. </w:t>
      </w:r>
      <w:r>
        <w:rPr>
          <w:rFonts w:ascii="Times New Roman" w:hAnsi="Times New Roman"/>
          <w:b w:val="0"/>
          <w:i w:val="0"/>
          <w:sz w:val="24"/>
          <w:u w:val="none"/>
        </w:rPr>
        <w:t>MCR 3.207(B)(1) requires that ex parte orders in domestic relations cases be supported by "[s]pecific facts in a verified pleading or affidavit showing that irreparable injury, loss, or damage will result from the delay required to effect notice."</w:t>
      </w:r>
    </w:p>
    <w:p>
      <w:pPr>
        <w:spacing w:after="0" w:before="0" w:line="480" w:lineRule="auto"/>
        <w:ind w:firstLine="720"/>
        <w:jc w:val="left"/>
      </w:pPr>
      <w:r>
        <w:rPr>
          <w:rFonts w:ascii="Times New Roman" w:hAnsi="Times New Roman"/>
          <w:b/>
          <w:i w:val="0"/>
          <w:sz w:val="24"/>
          <w:u w:val="none"/>
        </w:rPr>
        <w:t xml:space="preserve">12. </w:t>
      </w:r>
      <w:r>
        <w:rPr>
          <w:rFonts w:ascii="Times New Roman" w:hAnsi="Times New Roman"/>
          <w:b w:val="0"/>
          <w:i w:val="0"/>
          <w:sz w:val="24"/>
          <w:u w:val="none"/>
        </w:rPr>
        <w:t>Of the 55 orders entered in the underlying cases, Respondent entered 24 (43.6%) ex parte — all without proper notice to Complainant and without the verified factual showing required by MCR 3.207(B)(1). The litigation database documents 150 separate EX_PARTE_VIOLATION entries in the judicial violations table and 96 MCR 3.207(B) benchbook deviations — all attributed to Respondent.</w:t>
      </w:r>
    </w:p>
    <w:p>
      <w:pPr>
        <w:spacing w:after="0" w:before="0" w:line="480" w:lineRule="auto"/>
        <w:ind w:firstLine="720"/>
        <w:jc w:val="left"/>
      </w:pPr>
      <w:r>
        <w:rPr>
          <w:rFonts w:ascii="Times New Roman" w:hAnsi="Times New Roman"/>
          <w:b/>
          <w:i w:val="0"/>
          <w:sz w:val="24"/>
          <w:u w:val="none"/>
        </w:rPr>
        <w:t xml:space="preserve">13. </w:t>
      </w:r>
      <w:r>
        <w:rPr>
          <w:rFonts w:ascii="Times New Roman" w:hAnsi="Times New Roman"/>
          <w:b w:val="0"/>
          <w:i w:val="0"/>
          <w:sz w:val="24"/>
          <w:u w:val="none"/>
        </w:rPr>
        <w:t>The pattern of ex parte orders is chronological and persistent:</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April 11, 2024</w:t>
      </w:r>
      <w:r>
        <w:rPr>
          <w:rFonts w:ascii="Times New Roman" w:hAnsi="Times New Roman"/>
          <w:b w:val="0"/>
          <w:i w:val="0"/>
          <w:sz w:val="24"/>
          <w:u w:val="none"/>
        </w:rPr>
        <w:t>: PPO Amended ex parte. Notice to appear issued.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April 29, 2024</w:t>
      </w:r>
      <w:r>
        <w:rPr>
          <w:rFonts w:ascii="Times New Roman" w:hAnsi="Times New Roman"/>
          <w:b w:val="0"/>
          <w:i w:val="0"/>
          <w:sz w:val="24"/>
          <w:u w:val="none"/>
        </w:rPr>
        <w:t>: Ex Parte Order for Custody, Parenting Time and Child Support entered.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July 1, 2024</w:t>
      </w:r>
      <w:r>
        <w:rPr>
          <w:rFonts w:ascii="Times New Roman" w:hAnsi="Times New Roman"/>
          <w:b w:val="0"/>
          <w:i w:val="0"/>
          <w:sz w:val="24"/>
          <w:u w:val="none"/>
        </w:rPr>
        <w:t>: Emergency ex parte order granting sole custody to Watson without full hearing.</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i w:val="0"/>
          <w:sz w:val="24"/>
          <w:u w:val="none"/>
        </w:rPr>
        <w:t>August 6-8, 2025</w:t>
      </w:r>
      <w:r>
        <w:rPr>
          <w:rFonts w:ascii="Times New Roman" w:hAnsi="Times New Roman"/>
          <w:b w:val="0"/>
          <w:i w:val="0"/>
          <w:sz w:val="24"/>
          <w:u w:val="none"/>
        </w:rPr>
        <w:t>: Mass ex parte orders suspending ALL parenting time (see Count IX).</w:t>
      </w:r>
    </w:p>
    <w:p>
      <w:pPr>
        <w:spacing w:after="0" w:before="0" w:line="480" w:lineRule="auto"/>
        <w:ind w:firstLine="720"/>
        <w:jc w:val="left"/>
      </w:pPr>
      <w:r>
        <w:rPr>
          <w:rFonts w:ascii="Times New Roman" w:hAnsi="Times New Roman"/>
          <w:b/>
          <w:i w:val="0"/>
          <w:sz w:val="24"/>
          <w:u w:val="none"/>
        </w:rPr>
        <w:t xml:space="preserve">14. </w:t>
      </w:r>
      <w:r>
        <w:rPr>
          <w:rFonts w:ascii="Times New Roman" w:hAnsi="Times New Roman"/>
          <w:b/>
          <w:i w:val="0"/>
          <w:sz w:val="24"/>
          <w:u w:val="none"/>
        </w:rPr>
        <w:t>HealthWest Evaluation — Direct Ex Parte Communication</w:t>
      </w:r>
      <w:r>
        <w:rPr>
          <w:rFonts w:ascii="Times New Roman" w:hAnsi="Times New Roman"/>
          <w:b w:val="0"/>
          <w:i w:val="0"/>
          <w:sz w:val="24"/>
          <w:u w:val="none"/>
        </w:rPr>
        <w:t>: Respondent ordered Complainant to undergo a psychological evaluation at HealthWest. The judge's secretary then emailed Complainant, instructing that the completed evaluation be sent to chambers only — not filed on the record. Respondent received and relied upon the evaluation off the record and ex parte, contrary to Canon 3(B)(5)'s prohibition on considering ex parte communications concerning pending proceedings.</w:t>
      </w:r>
    </w:p>
    <w:p>
      <w:pPr>
        <w:spacing w:after="0" w:before="0" w:line="480" w:lineRule="auto"/>
        <w:ind w:firstLine="720"/>
        <w:jc w:val="left"/>
      </w:pPr>
      <w:r>
        <w:rPr>
          <w:rFonts w:ascii="Times New Roman" w:hAnsi="Times New Roman"/>
          <w:b/>
          <w:i w:val="0"/>
          <w:sz w:val="24"/>
          <w:u w:val="none"/>
        </w:rPr>
        <w:t xml:space="preserve">15. </w:t>
      </w:r>
      <w:r>
        <w:rPr>
          <w:rFonts w:ascii="Times New Roman" w:hAnsi="Times New Roman"/>
          <w:b w:val="0"/>
          <w:i w:val="0"/>
          <w:sz w:val="24"/>
          <w:u w:val="none"/>
        </w:rPr>
        <w:t>The ex parte rate of 43.6% is not an occasional procedural shortcut — it is a systemic practice that denies Complainant notice and opportunity to be heard on matters directly affecting his fundamental parental rights.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II: CANON 2(B) — APPEARANCE OF IMPROPRIETY</w:t>
      </w:r>
    </w:p>
    <w:p>
      <w:pPr>
        <w:spacing w:after="0" w:before="0" w:line="480" w:lineRule="auto"/>
        <w:jc w:val="left"/>
      </w:pPr>
      <w:r>
        <w:rPr>
          <w:rFonts w:ascii="Times New Roman" w:hAnsi="Times New Roman"/>
          <w:b/>
          <w:i w:val="0"/>
          <w:sz w:val="24"/>
          <w:u w:val="single"/>
        </w:rPr>
        <w:t>WATSON-McNEILL COORDINATION PATTERN</w:t>
      </w:r>
    </w:p>
    <w:p>
      <w:pPr>
        <w:spacing w:after="0" w:before="0" w:line="480" w:lineRule="auto"/>
        <w:ind w:firstLine="720"/>
        <w:jc w:val="left"/>
      </w:pPr>
      <w:r>
        <w:rPr>
          <w:rFonts w:ascii="Times New Roman" w:hAnsi="Times New Roman"/>
          <w:b/>
          <w:i w:val="0"/>
          <w:sz w:val="24"/>
          <w:u w:val="none"/>
        </w:rPr>
        <w:t xml:space="preserve">16. </w:t>
      </w:r>
      <w:r>
        <w:rPr>
          <w:rFonts w:ascii="Times New Roman" w:hAnsi="Times New Roman"/>
          <w:b w:val="0"/>
          <w:i w:val="0"/>
          <w:sz w:val="24"/>
          <w:u w:val="none"/>
        </w:rPr>
        <w:t>Canon 2 provides: "A judge should avoid impropriety and the appearance of impropriety in all activities." Canon 2(B) specifies: "A judge shall not allow family, social, or other relationships to influence judicial conduct or judgment."</w:t>
      </w:r>
    </w:p>
    <w:p>
      <w:pPr>
        <w:spacing w:after="0" w:before="0" w:line="480" w:lineRule="auto"/>
        <w:ind w:firstLine="720"/>
        <w:jc w:val="left"/>
      </w:pPr>
      <w:r>
        <w:rPr>
          <w:rFonts w:ascii="Times New Roman" w:hAnsi="Times New Roman"/>
          <w:b/>
          <w:i w:val="0"/>
          <w:sz w:val="24"/>
          <w:u w:val="none"/>
        </w:rPr>
        <w:t xml:space="preserve">17. </w:t>
      </w:r>
      <w:r>
        <w:rPr>
          <w:rFonts w:ascii="Times New Roman" w:hAnsi="Times New Roman"/>
          <w:b w:val="0"/>
          <w:i w:val="0"/>
          <w:sz w:val="24"/>
          <w:u w:val="none"/>
        </w:rPr>
        <w:t>The litigation database documents 150 Canon 2(B) benchbook violations — all attributed to Respondent. The `ppo_custody_cross_reference` table documents 13,016 cross-references between the PPO and custody proceedings, including 1,332 same-day patterns and 29 entries categorized as "mcneill_enables," indicating Respondent directly facilitated the weaponization of PPO proceedings as tactical leverage in custody litigation.</w:t>
      </w:r>
    </w:p>
    <w:p>
      <w:pPr>
        <w:spacing w:after="0" w:before="0" w:line="480" w:lineRule="auto"/>
        <w:ind w:firstLine="720"/>
        <w:jc w:val="left"/>
      </w:pPr>
      <w:r>
        <w:rPr>
          <w:rFonts w:ascii="Times New Roman" w:hAnsi="Times New Roman"/>
          <w:b/>
          <w:i w:val="0"/>
          <w:sz w:val="24"/>
          <w:u w:val="none"/>
        </w:rPr>
        <w:t xml:space="preserve">18. </w:t>
      </w:r>
      <w:r>
        <w:rPr>
          <w:rFonts w:ascii="Times New Roman" w:hAnsi="Times New Roman"/>
          <w:b w:val="0"/>
          <w:i w:val="0"/>
          <w:sz w:val="24"/>
          <w:u w:val="none"/>
        </w:rPr>
        <w:t>A documented coordination pattern emerges from the record: Watson files a motion → Respondent rules the same day → Ron Berry (appellate attorney and Watson's paramour) files within 48 hours. This pattern repeats across months:</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Watson's attorney withdrew representation, yet legally sophisticated documents continued to be filed.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Ron Berry, an appellate attorney employed at the Kent County Prosecutor's Office, has a personal relationship with Watson and has been involved in Lincoln's care — "3 months after I was served the PPO during the 30-day eviction, she was in a relationship with Ron Berry having Lincoln call him 'dad.'"</w:t>
      </w:r>
    </w:p>
    <w:p>
      <w:pPr>
        <w:spacing w:after="0" w:before="0" w:line="480" w:lineRule="auto"/>
        <w:ind w:left="720" w:hanging="360"/>
        <w:jc w:val="left"/>
      </w:pPr>
      <w:r>
        <w:rPr>
          <w:rFonts w:ascii="Times New Roman" w:hAnsi="Times New Roman"/>
          <w:b w:val="0"/>
          <w:i w:val="0"/>
          <w:sz w:val="24"/>
          <w:u w:val="none"/>
        </w:rPr>
        <w:t xml:space="preserve">• </w:t>
      </w:r>
      <w:r>
        <w:rPr>
          <w:rFonts w:ascii="Times New Roman" w:hAnsi="Times New Roman"/>
          <w:b w:val="0"/>
          <w:i w:val="0"/>
          <w:sz w:val="24"/>
          <w:u w:val="none"/>
        </w:rPr>
        <w:t>A voicemail to Ron Berry constitutes Item #6 in the ex parte objection table — direct evidence of coordination.</w:t>
      </w:r>
    </w:p>
    <w:p>
      <w:pPr>
        <w:spacing w:after="0" w:before="0" w:line="480" w:lineRule="auto"/>
        <w:ind w:firstLine="720"/>
        <w:jc w:val="left"/>
      </w:pPr>
      <w:r>
        <w:rPr>
          <w:rFonts w:ascii="Times New Roman" w:hAnsi="Times New Roman"/>
          <w:b/>
          <w:i w:val="0"/>
          <w:sz w:val="24"/>
          <w:u w:val="none"/>
        </w:rPr>
        <w:t xml:space="preserve">19. </w:t>
      </w:r>
      <w:r>
        <w:rPr>
          <w:rFonts w:ascii="Times New Roman" w:hAnsi="Times New Roman"/>
          <w:b w:val="0"/>
          <w:i w:val="0"/>
          <w:sz w:val="24"/>
          <w:u w:val="none"/>
        </w:rPr>
        <w:t>The pattern of same-day filing and ruling, combined with the Berry connection, creates at minimum an appearance of impropriety that violates Canon 2. All entries with maximum weaponization scores (10/10) show same-day, zero-days-apart coordination between PPO and custody events.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III: CANON 3(A)(4) — FAILURE TO ACCORD PATIENCE AND DIGNITY</w:t>
      </w:r>
    </w:p>
    <w:p>
      <w:pPr>
        <w:spacing w:after="0" w:before="0" w:line="480" w:lineRule="auto"/>
        <w:jc w:val="left"/>
      </w:pPr>
      <w:r>
        <w:rPr>
          <w:rFonts w:ascii="Times New Roman" w:hAnsi="Times New Roman"/>
          <w:b/>
          <w:i w:val="0"/>
          <w:sz w:val="24"/>
          <w:u w:val="single"/>
        </w:rPr>
        <w:t>MUTING A PRO SE FATHER IN CUSTODY PROCEEDINGS</w:t>
      </w:r>
    </w:p>
    <w:p>
      <w:pPr>
        <w:spacing w:after="0" w:before="0" w:line="480" w:lineRule="auto"/>
        <w:ind w:firstLine="720"/>
        <w:jc w:val="left"/>
      </w:pPr>
      <w:r>
        <w:rPr>
          <w:rFonts w:ascii="Times New Roman" w:hAnsi="Times New Roman"/>
          <w:b/>
          <w:i w:val="0"/>
          <w:sz w:val="24"/>
          <w:u w:val="none"/>
        </w:rPr>
        <w:t xml:space="preserve">20. </w:t>
      </w:r>
      <w:r>
        <w:rPr>
          <w:rFonts w:ascii="Times New Roman" w:hAnsi="Times New Roman"/>
          <w:b w:val="0"/>
          <w:i w:val="0"/>
          <w:sz w:val="24"/>
          <w:u w:val="none"/>
        </w:rPr>
        <w:t>Canon 3(A)(4) provides: "A judge shall be patient, dignified, and courteous to litigants, jurors, witnesses, lawyers, and others with whom the judge deals in an official capacity."</w:t>
      </w:r>
    </w:p>
    <w:p>
      <w:pPr>
        <w:spacing w:after="0" w:before="0" w:line="480" w:lineRule="auto"/>
        <w:ind w:firstLine="720"/>
        <w:jc w:val="left"/>
      </w:pPr>
      <w:r>
        <w:rPr>
          <w:rFonts w:ascii="Times New Roman" w:hAnsi="Times New Roman"/>
          <w:b/>
          <w:i w:val="0"/>
          <w:sz w:val="24"/>
          <w:u w:val="none"/>
        </w:rPr>
        <w:t xml:space="preserve">21. </w:t>
      </w:r>
      <w:r>
        <w:rPr>
          <w:rFonts w:ascii="Times New Roman" w:hAnsi="Times New Roman"/>
          <w:b w:val="0"/>
          <w:i w:val="0"/>
          <w:sz w:val="24"/>
          <w:u w:val="none"/>
        </w:rPr>
        <w:t>Thirteen documented instances in the evidence database confirm that Respondent muted Complainant's microphone, cut him off mid-objection, and instructed him not to file further materials. The following dates and events are confirmed by court records:</w:t>
      </w:r>
    </w:p>
    <w:p>
      <w:pPr>
        <w:spacing w:after="0" w:before="0" w:line="480" w:lineRule="auto"/>
        <w:ind w:firstLine="720"/>
        <w:jc w:val="left"/>
      </w:pPr>
      <w:r>
        <w:rPr>
          <w:rFonts w:ascii="Times New Roman" w:hAnsi="Times New Roman"/>
          <w:b w:val="0"/>
          <w:i w:val="0"/>
          <w:sz w:val="24"/>
          <w:u w:val="none"/>
        </w:rPr>
        <w:t xml:space="preserve">(a) </w:t>
      </w:r>
      <w:r>
        <w:rPr>
          <w:rFonts w:ascii="Times New Roman" w:hAnsi="Times New Roman"/>
          <w:b/>
          <w:i w:val="0"/>
          <w:sz w:val="24"/>
          <w:u w:val="none"/>
        </w:rPr>
        <w:t>October 30, 2024</w:t>
      </w:r>
      <w:r>
        <w:rPr>
          <w:rFonts w:ascii="Times New Roman" w:hAnsi="Times New Roman"/>
          <w:b w:val="0"/>
          <w:i w:val="0"/>
          <w:sz w:val="24"/>
          <w:u w:val="none"/>
        </w:rPr>
        <w:t>: "Repeatedly muted during the contempt hearing on October 30, 2024. The Court prevented me from presenting exculpatory evidence."</w:t>
      </w:r>
    </w:p>
    <w:p>
      <w:pPr>
        <w:spacing w:after="0" w:before="0" w:line="480" w:lineRule="auto"/>
        <w:ind w:firstLine="720"/>
        <w:jc w:val="left"/>
      </w:pPr>
      <w:r>
        <w:rPr>
          <w:rFonts w:ascii="Times New Roman" w:hAnsi="Times New Roman"/>
          <w:b w:val="0"/>
          <w:i w:val="0"/>
          <w:sz w:val="24"/>
          <w:u w:val="none"/>
        </w:rPr>
        <w:t xml:space="preserve">(b) </w:t>
      </w:r>
      <w:r>
        <w:rPr>
          <w:rFonts w:ascii="Times New Roman" w:hAnsi="Times New Roman"/>
          <w:b/>
          <w:i w:val="0"/>
          <w:sz w:val="24"/>
          <w:u w:val="none"/>
        </w:rPr>
        <w:t>November 15, 2024</w:t>
      </w:r>
      <w:r>
        <w:rPr>
          <w:rFonts w:ascii="Times New Roman" w:hAnsi="Times New Roman"/>
          <w:b w:val="0"/>
          <w:i w:val="0"/>
          <w:sz w:val="24"/>
          <w:u w:val="none"/>
        </w:rPr>
        <w:t>: "Refused to admit the exonerating police report dated November 15, 2024 (Exhibit B), and Plaintiff was silenced three times."</w:t>
      </w:r>
    </w:p>
    <w:p>
      <w:pPr>
        <w:spacing w:after="0" w:before="0" w:line="480" w:lineRule="auto"/>
        <w:ind w:firstLine="720"/>
        <w:jc w:val="left"/>
      </w:pPr>
      <w:r>
        <w:rPr>
          <w:rFonts w:ascii="Times New Roman" w:hAnsi="Times New Roman"/>
          <w:b w:val="0"/>
          <w:i w:val="0"/>
          <w:sz w:val="24"/>
          <w:u w:val="none"/>
        </w:rPr>
        <w:t xml:space="preserve">(c) </w:t>
      </w:r>
      <w:r>
        <w:rPr>
          <w:rFonts w:ascii="Times New Roman" w:hAnsi="Times New Roman"/>
          <w:b/>
          <w:i w:val="0"/>
          <w:sz w:val="24"/>
          <w:u w:val="none"/>
        </w:rPr>
        <w:t>Multiple hearings</w:t>
      </w:r>
      <w:r>
        <w:rPr>
          <w:rFonts w:ascii="Times New Roman" w:hAnsi="Times New Roman"/>
          <w:b w:val="0"/>
          <w:i w:val="0"/>
          <w:sz w:val="24"/>
          <w:u w:val="none"/>
        </w:rPr>
        <w:t>: "hearings, I was muted, cut off, or told the judge would not look at further filings, effectively closing the courtroom door to a self-represented parent."</w:t>
      </w:r>
    </w:p>
    <w:p>
      <w:pPr>
        <w:spacing w:after="0" w:before="0" w:line="480" w:lineRule="auto"/>
        <w:ind w:firstLine="720"/>
        <w:jc w:val="left"/>
      </w:pPr>
      <w:r>
        <w:rPr>
          <w:rFonts w:ascii="Times New Roman" w:hAnsi="Times New Roman"/>
          <w:b w:val="0"/>
          <w:i w:val="0"/>
          <w:sz w:val="24"/>
          <w:u w:val="none"/>
        </w:rPr>
        <w:t xml:space="preserve">(d) </w:t>
      </w:r>
      <w:r>
        <w:rPr>
          <w:rFonts w:ascii="Times New Roman" w:hAnsi="Times New Roman"/>
          <w:b/>
          <w:i w:val="0"/>
          <w:sz w:val="24"/>
          <w:u w:val="none"/>
        </w:rPr>
        <w:t>Multiple hearings</w:t>
      </w:r>
      <w:r>
        <w:rPr>
          <w:rFonts w:ascii="Times New Roman" w:hAnsi="Times New Roman"/>
          <w:b w:val="0"/>
          <w:i w:val="0"/>
          <w:sz w:val="24"/>
          <w:u w:val="none"/>
        </w:rPr>
        <w:t>: "hearings where Judge McNeill muted my microphone, cut me off mid-objection, or instructed me not to file further materials because she would not look at them."</w:t>
      </w:r>
    </w:p>
    <w:p>
      <w:pPr>
        <w:spacing w:after="0" w:before="0" w:line="480" w:lineRule="auto"/>
        <w:ind w:firstLine="720"/>
        <w:jc w:val="left"/>
      </w:pPr>
      <w:r>
        <w:rPr>
          <w:rFonts w:ascii="Times New Roman" w:hAnsi="Times New Roman"/>
          <w:b/>
          <w:i w:val="0"/>
          <w:sz w:val="24"/>
          <w:u w:val="none"/>
        </w:rPr>
        <w:t xml:space="preserve">22. </w:t>
      </w:r>
      <w:r>
        <w:rPr>
          <w:rFonts w:ascii="Times New Roman" w:hAnsi="Times New Roman"/>
          <w:b w:val="0"/>
          <w:i w:val="0"/>
          <w:sz w:val="24"/>
          <w:u w:val="none"/>
        </w:rPr>
        <w:t>This conduct is particularly egregious because Complainant is a pro se litigant. Canon 3(A)(4) specifically protects the right to be heard. Muting a self-represented father during custody proceedings — where his fundamental parental rights are at stake — is a textbook Canon violation. The benchbook documents 72 Canon 3(A)(4) deviations, all attributed to Respondent.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IV: MCR 2.003(D) — SELF-RULING ON DISQUALIFICATION</w:t>
      </w:r>
    </w:p>
    <w:p>
      <w:pPr>
        <w:spacing w:after="0" w:before="0" w:line="480" w:lineRule="auto"/>
        <w:jc w:val="left"/>
      </w:pPr>
      <w:r>
        <w:rPr>
          <w:rFonts w:ascii="Times New Roman" w:hAnsi="Times New Roman"/>
          <w:b/>
          <w:i w:val="0"/>
          <w:sz w:val="24"/>
          <w:u w:val="single"/>
        </w:rPr>
        <w:t>RESPONDENT DECIDED HER OWN DISQUALIFICATION MOTION</w:t>
      </w:r>
    </w:p>
    <w:p>
      <w:pPr>
        <w:spacing w:after="0" w:before="0" w:line="480" w:lineRule="auto"/>
        <w:ind w:firstLine="720"/>
        <w:jc w:val="left"/>
      </w:pPr>
      <w:r>
        <w:rPr>
          <w:rFonts w:ascii="Times New Roman" w:hAnsi="Times New Roman"/>
          <w:b/>
          <w:i w:val="0"/>
          <w:sz w:val="24"/>
          <w:u w:val="none"/>
        </w:rPr>
        <w:t xml:space="preserve">23. </w:t>
      </w:r>
      <w:r>
        <w:rPr>
          <w:rFonts w:ascii="Times New Roman" w:hAnsi="Times New Roman"/>
          <w:b w:val="0"/>
          <w:i w:val="0"/>
          <w:sz w:val="24"/>
          <w:u w:val="none"/>
        </w:rPr>
        <w:t>MCR 2.003(D) provides: "If the challenged judge does not grant the motion [for disqualification], the challenged judge shall refer the motion to the chief judge, who shall decide the motion de novo." The word "shall" is mandatory.</w:t>
      </w:r>
    </w:p>
    <w:p>
      <w:pPr>
        <w:spacing w:after="0" w:before="0" w:line="480" w:lineRule="auto"/>
        <w:ind w:firstLine="720"/>
        <w:jc w:val="left"/>
      </w:pPr>
      <w:r>
        <w:rPr>
          <w:rFonts w:ascii="Times New Roman" w:hAnsi="Times New Roman"/>
          <w:b/>
          <w:i w:val="0"/>
          <w:sz w:val="24"/>
          <w:u w:val="none"/>
        </w:rPr>
        <w:t xml:space="preserve">24. </w:t>
      </w:r>
      <w:r>
        <w:rPr>
          <w:rFonts w:ascii="Times New Roman" w:hAnsi="Times New Roman"/>
          <w:b w:val="0"/>
          <w:i w:val="0"/>
          <w:sz w:val="24"/>
          <w:u w:val="none"/>
        </w:rPr>
        <w:t>On March 4, 2025, Complainant filed a Motion to Disqualify Judge McNeill citing the pattern of one-sided rulings, ex parte handling, unequal treatment of evidence, and hostile commentary. Respondent denied this motion herself rather than referring it to the Chief Judge as MCR 2.003(D) requires.</w:t>
      </w:r>
    </w:p>
    <w:p>
      <w:pPr>
        <w:spacing w:after="0" w:before="0" w:line="480" w:lineRule="auto"/>
        <w:ind w:firstLine="720"/>
        <w:jc w:val="left"/>
      </w:pPr>
      <w:r>
        <w:rPr>
          <w:rFonts w:ascii="Times New Roman" w:hAnsi="Times New Roman"/>
          <w:b/>
          <w:i w:val="0"/>
          <w:sz w:val="24"/>
          <w:u w:val="none"/>
        </w:rPr>
        <w:t xml:space="preserve">25. </w:t>
      </w:r>
      <w:r>
        <w:rPr>
          <w:rFonts w:ascii="Times New Roman" w:hAnsi="Times New Roman"/>
          <w:b w:val="0"/>
          <w:i w:val="0"/>
          <w:sz w:val="24"/>
          <w:u w:val="none"/>
        </w:rPr>
        <w:t>On October 29, 2025, Complainant again orally moved for disqualification, citing the developed record of bias, including the August 8, 2025 mass ex parte orders. Respondent again denied the motion herself and continued to preside over both cases.</w:t>
      </w:r>
    </w:p>
    <w:p>
      <w:pPr>
        <w:spacing w:after="0" w:before="0" w:line="480" w:lineRule="auto"/>
        <w:ind w:firstLine="720"/>
        <w:jc w:val="left"/>
      </w:pPr>
      <w:r>
        <w:rPr>
          <w:rFonts w:ascii="Times New Roman" w:hAnsi="Times New Roman"/>
          <w:b/>
          <w:i w:val="0"/>
          <w:sz w:val="24"/>
          <w:u w:val="none"/>
        </w:rPr>
        <w:t xml:space="preserve">26. </w:t>
      </w:r>
      <w:r>
        <w:rPr>
          <w:rFonts w:ascii="Times New Roman" w:hAnsi="Times New Roman"/>
          <w:b w:val="0"/>
          <w:i w:val="0"/>
          <w:sz w:val="24"/>
          <w:u w:val="none"/>
        </w:rPr>
        <w:t>The judicial violations database documents 167 violations under MCR 2.003 (Disqualification) and 146 JUDICIAL_MCR_2003_DISQUALIFICATION impeachment items. Respondent's repeated self-ruling on disqualification — contrary to the mandatory referral procedure — is both a procedural violation and an independent ground for misconduct.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V: CANON 3(B)(8) — DISPARATE TREATMENT</w:t>
      </w:r>
    </w:p>
    <w:p>
      <w:pPr>
        <w:spacing w:after="0" w:before="0" w:line="480" w:lineRule="auto"/>
        <w:jc w:val="left"/>
      </w:pPr>
      <w:r>
        <w:rPr>
          <w:rFonts w:ascii="Times New Roman" w:hAnsi="Times New Roman"/>
          <w:b/>
          <w:i w:val="0"/>
          <w:sz w:val="24"/>
          <w:u w:val="single"/>
        </w:rPr>
        <w:t>ONE-SIDED SANCTIONS, ZERO ACCOUNTABILITY FOR DEFENDANT</w:t>
      </w:r>
    </w:p>
    <w:p>
      <w:pPr>
        <w:spacing w:after="0" w:before="0" w:line="480" w:lineRule="auto"/>
        <w:ind w:firstLine="720"/>
        <w:jc w:val="left"/>
      </w:pPr>
      <w:r>
        <w:rPr>
          <w:rFonts w:ascii="Times New Roman" w:hAnsi="Times New Roman"/>
          <w:b/>
          <w:i w:val="0"/>
          <w:sz w:val="24"/>
          <w:u w:val="none"/>
        </w:rPr>
        <w:t xml:space="preserve">27. </w:t>
      </w:r>
      <w:r>
        <w:rPr>
          <w:rFonts w:ascii="Times New Roman" w:hAnsi="Times New Roman"/>
          <w:b w:val="0"/>
          <w:i w:val="0"/>
          <w:sz w:val="24"/>
          <w:u w:val="none"/>
        </w:rPr>
        <w:t>Canon 3(B)(8) requires that a judge "perform judicial duties without bias or prejudice" and "not, in the performance of judicial duties, by words or conduct manifest bias or prejudice."</w:t>
      </w:r>
    </w:p>
    <w:p>
      <w:pPr>
        <w:spacing w:after="0" w:before="0" w:line="480" w:lineRule="auto"/>
        <w:ind w:firstLine="720"/>
        <w:jc w:val="left"/>
      </w:pPr>
      <w:r>
        <w:rPr>
          <w:rFonts w:ascii="Times New Roman" w:hAnsi="Times New Roman"/>
          <w:b/>
          <w:i w:val="0"/>
          <w:sz w:val="24"/>
          <w:u w:val="none"/>
        </w:rPr>
        <w:t xml:space="preserve">28. </w:t>
      </w:r>
      <w:r>
        <w:rPr>
          <w:rFonts w:ascii="Times New Roman" w:hAnsi="Times New Roman"/>
          <w:b w:val="0"/>
          <w:i w:val="0"/>
          <w:sz w:val="24"/>
          <w:u w:val="none"/>
        </w:rPr>
        <w:t>The record demonstrates stark, quantifiable disparate treatment: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sz w:val="20"/>
                <w:u w:val="none"/>
              </w:rPr>
              <w:t>Category</w:t>
            </w:r>
          </w:p>
        </w:tc>
        <w:tc>
          <w:tcPr>
            <w:tcW w:type="dxa" w:w="3120"/>
          </w:tcPr>
          <w:p>
            <w:pPr>
              <w:spacing w:line="240" w:lineRule="auto"/>
            </w:pPr>
            <w:r/>
            <w:r>
              <w:rPr>
                <w:rFonts w:ascii="Times New Roman" w:hAnsi="Times New Roman"/>
                <w:b/>
                <w:i w:val="0"/>
                <w:sz w:val="20"/>
                <w:u w:val="none"/>
              </w:rPr>
              <w:t>Father (Andrew Pigors)</w:t>
            </w:r>
          </w:p>
        </w:tc>
        <w:tc>
          <w:tcPr>
            <w:tcW w:type="dxa" w:w="3120"/>
          </w:tcPr>
          <w:p>
            <w:pPr>
              <w:spacing w:line="240" w:lineRule="auto"/>
            </w:pPr>
            <w:r/>
            <w:r>
              <w:rPr>
                <w:rFonts w:ascii="Times New Roman" w:hAnsi="Times New Roman"/>
                <w:b/>
                <w:i w:val="0"/>
                <w:sz w:val="20"/>
                <w:u w:val="none"/>
              </w:rPr>
              <w:t>Mother (Emily Watson)</w:t>
            </w:r>
          </w:p>
        </w:tc>
      </w:tr>
      <w:tr>
        <w:tc>
          <w:tcPr>
            <w:tcW w:type="dxa" w:w="3120"/>
          </w:tcPr>
          <w:p>
            <w:pPr>
              <w:spacing w:line="240" w:lineRule="auto"/>
            </w:pPr>
            <w:r/>
            <w:r>
              <w:rPr>
                <w:rFonts w:ascii="Times New Roman" w:hAnsi="Times New Roman"/>
                <w:b w:val="0"/>
                <w:i w:val="0"/>
                <w:sz w:val="20"/>
                <w:u w:val="none"/>
              </w:rPr>
              <w:t>Contempt findings</w:t>
            </w:r>
          </w:p>
        </w:tc>
        <w:tc>
          <w:tcPr>
            <w:tcW w:type="dxa" w:w="3120"/>
          </w:tcPr>
          <w:p>
            <w:pPr>
              <w:spacing w:line="240" w:lineRule="auto"/>
            </w:pPr>
            <w:r/>
            <w:r>
              <w:rPr>
                <w:rFonts w:ascii="Times New Roman" w:hAnsi="Times New Roman"/>
                <w:b w:val="0"/>
                <w:i w:val="0"/>
                <w:sz w:val="20"/>
                <w:u w:val="none"/>
              </w:rPr>
              <w:t>Multiple, including jail time</w:t>
            </w:r>
          </w:p>
        </w:tc>
        <w:tc>
          <w:tcPr>
            <w:tcW w:type="dxa" w:w="3120"/>
          </w:tcPr>
          <w:p>
            <w:pPr>
              <w:spacing w:line="240" w:lineRule="auto"/>
            </w:pPr>
            <w:r/>
            <w:r>
              <w:rPr>
                <w:rFonts w:ascii="Times New Roman" w:hAnsi="Times New Roman"/>
                <w:b w:val="0"/>
                <w:i w:val="0"/>
                <w:sz w:val="20"/>
                <w:u w:val="none"/>
              </w:rPr>
              <w:t>Zero</w:t>
            </w:r>
          </w:p>
        </w:tc>
      </w:tr>
      <w:tr>
        <w:tc>
          <w:tcPr>
            <w:tcW w:type="dxa" w:w="3120"/>
          </w:tcPr>
          <w:p>
            <w:pPr>
              <w:spacing w:line="240" w:lineRule="auto"/>
            </w:pPr>
            <w:r/>
            <w:r>
              <w:rPr>
                <w:rFonts w:ascii="Times New Roman" w:hAnsi="Times New Roman"/>
                <w:b w:val="0"/>
                <w:i w:val="0"/>
                <w:sz w:val="20"/>
                <w:u w:val="none"/>
              </w:rPr>
              <w:t>Sanctions</w:t>
            </w:r>
          </w:p>
        </w:tc>
        <w:tc>
          <w:tcPr>
            <w:tcW w:type="dxa" w:w="3120"/>
          </w:tcPr>
          <w:p>
            <w:pPr>
              <w:spacing w:line="240" w:lineRule="auto"/>
            </w:pPr>
            <w:r/>
            <w:r>
              <w:rPr>
                <w:rFonts w:ascii="Times New Roman" w:hAnsi="Times New Roman"/>
                <w:b w:val="0"/>
                <w:i w:val="0"/>
                <w:sz w:val="20"/>
                <w:u w:val="none"/>
              </w:rPr>
              <w:t>Multiple monetary sanctions; $250 filing bond</w:t>
            </w:r>
          </w:p>
        </w:tc>
        <w:tc>
          <w:tcPr>
            <w:tcW w:type="dxa" w:w="3120"/>
          </w:tcPr>
          <w:p>
            <w:pPr>
              <w:spacing w:line="240" w:lineRule="auto"/>
            </w:pPr>
            <w:r/>
            <w:r>
              <w:rPr>
                <w:rFonts w:ascii="Times New Roman" w:hAnsi="Times New Roman"/>
                <w:b w:val="0"/>
                <w:i w:val="0"/>
                <w:sz w:val="20"/>
                <w:u w:val="none"/>
              </w:rPr>
              <w:t>Zero</w:t>
            </w:r>
          </w:p>
        </w:tc>
      </w:tr>
      <w:tr>
        <w:tc>
          <w:tcPr>
            <w:tcW w:type="dxa" w:w="3120"/>
          </w:tcPr>
          <w:p>
            <w:pPr>
              <w:spacing w:line="240" w:lineRule="auto"/>
            </w:pPr>
            <w:r/>
            <w:r>
              <w:rPr>
                <w:rFonts w:ascii="Times New Roman" w:hAnsi="Times New Roman"/>
                <w:b w:val="0"/>
                <w:i w:val="0"/>
                <w:sz w:val="20"/>
                <w:u w:val="none"/>
              </w:rPr>
              <w:t>Ex parte orders against</w:t>
            </w:r>
          </w:p>
        </w:tc>
        <w:tc>
          <w:tcPr>
            <w:tcW w:type="dxa" w:w="3120"/>
          </w:tcPr>
          <w:p>
            <w:pPr>
              <w:spacing w:line="240" w:lineRule="auto"/>
            </w:pPr>
            <w:r/>
            <w:r>
              <w:rPr>
                <w:rFonts w:ascii="Times New Roman" w:hAnsi="Times New Roman"/>
                <w:b w:val="0"/>
                <w:i w:val="0"/>
                <w:sz w:val="20"/>
                <w:u w:val="none"/>
              </w:rPr>
              <w:t>24+ orders restricting his rights</w:t>
            </w:r>
          </w:p>
        </w:tc>
        <w:tc>
          <w:tcPr>
            <w:tcW w:type="dxa" w:w="3120"/>
          </w:tcPr>
          <w:p>
            <w:pPr>
              <w:spacing w:line="240" w:lineRule="auto"/>
            </w:pPr>
            <w:r/>
            <w:r>
              <w:rPr>
                <w:rFonts w:ascii="Times New Roman" w:hAnsi="Times New Roman"/>
                <w:b w:val="0"/>
                <w:i w:val="0"/>
                <w:sz w:val="20"/>
                <w:u w:val="none"/>
              </w:rPr>
              <w:t>None against her</w:t>
            </w:r>
          </w:p>
        </w:tc>
      </w:tr>
      <w:tr>
        <w:tc>
          <w:tcPr>
            <w:tcW w:type="dxa" w:w="3120"/>
          </w:tcPr>
          <w:p>
            <w:pPr>
              <w:spacing w:line="240" w:lineRule="auto"/>
            </w:pPr>
            <w:r/>
            <w:r>
              <w:rPr>
                <w:rFonts w:ascii="Times New Roman" w:hAnsi="Times New Roman"/>
                <w:b w:val="0"/>
                <w:i w:val="0"/>
                <w:sz w:val="20"/>
                <w:u w:val="none"/>
              </w:rPr>
              <w:t>Evidence accepted</w:t>
            </w:r>
          </w:p>
        </w:tc>
        <w:tc>
          <w:tcPr>
            <w:tcW w:type="dxa" w:w="3120"/>
          </w:tcPr>
          <w:p>
            <w:pPr>
              <w:spacing w:line="240" w:lineRule="auto"/>
            </w:pPr>
            <w:r/>
            <w:r>
              <w:rPr>
                <w:rFonts w:ascii="Times New Roman" w:hAnsi="Times New Roman"/>
                <w:b w:val="0"/>
                <w:i w:val="0"/>
                <w:sz w:val="20"/>
                <w:u w:val="none"/>
              </w:rPr>
              <w:t>Frequently refused / not reviewed</w:t>
            </w:r>
          </w:p>
        </w:tc>
        <w:tc>
          <w:tcPr>
            <w:tcW w:type="dxa" w:w="3120"/>
          </w:tcPr>
          <w:p>
            <w:pPr>
              <w:spacing w:line="240" w:lineRule="auto"/>
            </w:pPr>
            <w:r/>
            <w:r>
              <w:rPr>
                <w:rFonts w:ascii="Times New Roman" w:hAnsi="Times New Roman"/>
                <w:b w:val="0"/>
                <w:i w:val="0"/>
                <w:sz w:val="20"/>
                <w:u w:val="none"/>
              </w:rPr>
              <w:t>Accepted without verification</w:t>
            </w:r>
          </w:p>
        </w:tc>
      </w:tr>
      <w:tr>
        <w:tc>
          <w:tcPr>
            <w:tcW w:type="dxa" w:w="3120"/>
          </w:tcPr>
          <w:p>
            <w:pPr>
              <w:spacing w:line="240" w:lineRule="auto"/>
            </w:pPr>
            <w:r/>
            <w:r>
              <w:rPr>
                <w:rFonts w:ascii="Times New Roman" w:hAnsi="Times New Roman"/>
                <w:b w:val="0"/>
                <w:i w:val="0"/>
                <w:sz w:val="20"/>
                <w:u w:val="none"/>
              </w:rPr>
              <w:t>Hearing demeanor</w:t>
            </w:r>
          </w:p>
        </w:tc>
        <w:tc>
          <w:tcPr>
            <w:tcW w:type="dxa" w:w="3120"/>
          </w:tcPr>
          <w:p>
            <w:pPr>
              <w:spacing w:line="240" w:lineRule="auto"/>
            </w:pPr>
            <w:r/>
            <w:r>
              <w:rPr>
                <w:rFonts w:ascii="Times New Roman" w:hAnsi="Times New Roman"/>
                <w:b w:val="0"/>
                <w:i w:val="0"/>
                <w:sz w:val="20"/>
                <w:u w:val="none"/>
              </w:rPr>
              <w:t>Muted, cut off, silenced 3+ times</w:t>
            </w:r>
          </w:p>
        </w:tc>
        <w:tc>
          <w:tcPr>
            <w:tcW w:type="dxa" w:w="3120"/>
          </w:tcPr>
          <w:p>
            <w:pPr>
              <w:spacing w:line="240" w:lineRule="auto"/>
            </w:pPr>
            <w:r/>
            <w:r>
              <w:rPr>
                <w:rFonts w:ascii="Times New Roman" w:hAnsi="Times New Roman"/>
                <w:b w:val="0"/>
                <w:i w:val="0"/>
                <w:sz w:val="20"/>
                <w:u w:val="none"/>
              </w:rPr>
              <w:t>Full right to present</w:t>
            </w:r>
          </w:p>
        </w:tc>
      </w:tr>
      <w:tr>
        <w:tc>
          <w:tcPr>
            <w:tcW w:type="dxa" w:w="3120"/>
          </w:tcPr>
          <w:p>
            <w:pPr>
              <w:spacing w:line="240" w:lineRule="auto"/>
            </w:pPr>
            <w:r/>
            <w:r>
              <w:rPr>
                <w:rFonts w:ascii="Times New Roman" w:hAnsi="Times New Roman"/>
                <w:b w:val="0"/>
                <w:i w:val="0"/>
                <w:sz w:val="20"/>
                <w:u w:val="none"/>
              </w:rPr>
              <w:t>Parenting time</w:t>
            </w:r>
          </w:p>
        </w:tc>
        <w:tc>
          <w:tcPr>
            <w:tcW w:type="dxa" w:w="3120"/>
          </w:tcPr>
          <w:p>
            <w:pPr>
              <w:spacing w:line="240" w:lineRule="auto"/>
            </w:pPr>
            <w:r/>
            <w:r>
              <w:rPr>
                <w:rFonts w:ascii="Times New Roman" w:hAnsi="Times New Roman"/>
                <w:b w:val="0"/>
                <w:i w:val="0"/>
                <w:sz w:val="20"/>
                <w:u w:val="none"/>
              </w:rPr>
              <w:t>567+ day suspension</w:t>
            </w:r>
          </w:p>
        </w:tc>
        <w:tc>
          <w:tcPr>
            <w:tcW w:type="dxa" w:w="3120"/>
          </w:tcPr>
          <w:p>
            <w:pPr>
              <w:spacing w:line="240" w:lineRule="auto"/>
            </w:pPr>
            <w:r/>
            <w:r>
              <w:rPr>
                <w:rFonts w:ascii="Times New Roman" w:hAnsi="Times New Roman"/>
                <w:b w:val="0"/>
                <w:i w:val="0"/>
                <w:sz w:val="20"/>
                <w:u w:val="none"/>
              </w:rPr>
              <w:t>Full custody, zero restrictions</w:t>
            </w:r>
          </w:p>
        </w:tc>
      </w:tr>
      <w:tr>
        <w:tc>
          <w:tcPr>
            <w:tcW w:type="dxa" w:w="3120"/>
          </w:tcPr>
          <w:p>
            <w:pPr>
              <w:spacing w:line="240" w:lineRule="auto"/>
            </w:pPr>
            <w:r/>
            <w:r>
              <w:rPr>
                <w:rFonts w:ascii="Times New Roman" w:hAnsi="Times New Roman"/>
                <w:b w:val="0"/>
                <w:i w:val="0"/>
                <w:sz w:val="20"/>
                <w:u w:val="none"/>
              </w:rPr>
              <w:t>Filing ability</w:t>
            </w:r>
          </w:p>
        </w:tc>
        <w:tc>
          <w:tcPr>
            <w:tcW w:type="dxa" w:w="3120"/>
          </w:tcPr>
          <w:p>
            <w:pPr>
              <w:spacing w:line="240" w:lineRule="auto"/>
            </w:pPr>
            <w:r/>
            <w:r>
              <w:rPr>
                <w:rFonts w:ascii="Times New Roman" w:hAnsi="Times New Roman"/>
                <w:b w:val="0"/>
                <w:i w:val="0"/>
                <w:sz w:val="20"/>
                <w:u w:val="none"/>
              </w:rPr>
              <w:t>$250 bond per motion</w:t>
            </w:r>
          </w:p>
        </w:tc>
        <w:tc>
          <w:tcPr>
            <w:tcW w:type="dxa" w:w="3120"/>
          </w:tcPr>
          <w:p>
            <w:pPr>
              <w:spacing w:line="240" w:lineRule="auto"/>
            </w:pPr>
            <w:r/>
            <w:r>
              <w:rPr>
                <w:rFonts w:ascii="Times New Roman" w:hAnsi="Times New Roman"/>
                <w:b w:val="0"/>
                <w:i w:val="0"/>
                <w:sz w:val="20"/>
                <w:u w:val="none"/>
              </w:rPr>
              <w:t>Unlimited filings</w:t>
            </w:r>
          </w:p>
        </w:tc>
      </w:tr>
    </w:tbl>
    <w:p/>
    <w:p>
      <w:pPr>
        <w:spacing w:after="0" w:before="0" w:line="480" w:lineRule="auto"/>
        <w:ind w:firstLine="720"/>
        <w:jc w:val="left"/>
      </w:pPr>
      <w:r>
        <w:rPr>
          <w:rFonts w:ascii="Times New Roman" w:hAnsi="Times New Roman"/>
          <w:b/>
          <w:i w:val="0"/>
          <w:sz w:val="24"/>
          <w:u w:val="none"/>
        </w:rPr>
        <w:t xml:space="preserve">29. </w:t>
      </w:r>
      <w:r>
        <w:rPr>
          <w:rFonts w:ascii="Times New Roman" w:hAnsi="Times New Roman"/>
          <w:b w:val="0"/>
          <w:i w:val="0"/>
          <w:sz w:val="24"/>
          <w:u w:val="none"/>
        </w:rPr>
        <w:t>The impeachment items database confirms: 381 JUDICIAL_PPO_WEAPONIZATION entries; 226 JUDICIAL_EX_PARTE_VIOLATION entries; 196 JUDICIAL_PROCEDURAL_MISCONDUCT entries; 175 JUDICIAL_DUE_PROCESS_VIOLATION entries; and 150 JUDICIAL_MCJC_CANON_VIOLATION entries. Total judicial-specific impeachment items exceed 1,895 — all at HIGH or CRITICAL severity.</w:t>
      </w:r>
    </w:p>
    <w:p>
      <w:pPr>
        <w:spacing w:after="0" w:before="0" w:line="480" w:lineRule="auto"/>
        <w:ind w:firstLine="720"/>
        <w:jc w:val="left"/>
      </w:pPr>
      <w:r>
        <w:rPr>
          <w:rFonts w:ascii="Times New Roman" w:hAnsi="Times New Roman"/>
          <w:b/>
          <w:i w:val="0"/>
          <w:sz w:val="24"/>
          <w:u w:val="none"/>
        </w:rPr>
        <w:t xml:space="preserve">30. </w:t>
      </w:r>
      <w:r>
        <w:rPr>
          <w:rFonts w:ascii="Times New Roman" w:hAnsi="Times New Roman"/>
          <w:b w:val="0"/>
          <w:i w:val="0"/>
          <w:sz w:val="24"/>
          <w:u w:val="none"/>
        </w:rPr>
        <w:t>Nearly two-thirds (62.7%) of all impeachment items derive from the court's own statements, orders, and actions — the court's own record impeaches itself.</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VI: DUE PROCESS VIOLATIONS</w:t>
      </w:r>
    </w:p>
    <w:p>
      <w:pPr>
        <w:spacing w:after="0" w:before="0" w:line="480" w:lineRule="auto"/>
        <w:jc w:val="left"/>
      </w:pPr>
      <w:r>
        <w:rPr>
          <w:rFonts w:ascii="Times New Roman" w:hAnsi="Times New Roman"/>
          <w:b/>
          <w:i w:val="0"/>
          <w:sz w:val="24"/>
          <w:u w:val="single"/>
        </w:rPr>
        <w:t>NO HEARINGS, NO FINDINGS, NO EVIDENCE REVIEW</w:t>
      </w:r>
    </w:p>
    <w:p>
      <w:pPr>
        <w:spacing w:after="0" w:before="0" w:line="480" w:lineRule="auto"/>
        <w:ind w:firstLine="720"/>
        <w:jc w:val="left"/>
      </w:pPr>
      <w:r>
        <w:rPr>
          <w:rFonts w:ascii="Times New Roman" w:hAnsi="Times New Roman"/>
          <w:b/>
          <w:i w:val="0"/>
          <w:sz w:val="24"/>
          <w:u w:val="none"/>
        </w:rPr>
        <w:t xml:space="preserve">31. </w:t>
      </w:r>
      <w:r>
        <w:rPr>
          <w:rFonts w:ascii="Times New Roman" w:hAnsi="Times New Roman"/>
          <w:b w:val="0"/>
          <w:i w:val="0"/>
          <w:sz w:val="24"/>
          <w:u w:val="none"/>
        </w:rPr>
        <w:t xml:space="preserve">The Due Process Clauses of the United States Constitution (Amend. XIV) and the Michigan Constitution (Art. 1, § 17) guarantee that no person shall be deprived of life, liberty, or property without due process of law. The United States Supreme Court has recognized parental rights as "perhaps the oldest of the fundamental liberty interests." </w:t>
      </w:r>
      <w:r>
        <w:rPr>
          <w:rFonts w:ascii="Times New Roman" w:hAnsi="Times New Roman"/>
          <w:b w:val="0"/>
          <w:i/>
          <w:sz w:val="24"/>
          <w:u w:val="none"/>
        </w:rPr>
        <w:t>Troxel v. Granville</w:t>
      </w:r>
      <w:r>
        <w:rPr>
          <w:rFonts w:ascii="Times New Roman" w:hAnsi="Times New Roman"/>
          <w:b w:val="0"/>
          <w:i w:val="0"/>
          <w:sz w:val="24"/>
          <w:u w:val="none"/>
        </w:rPr>
        <w:t>, 530 U.S. 57, 65 (2000).</w:t>
      </w:r>
    </w:p>
    <w:p>
      <w:pPr>
        <w:spacing w:after="0" w:before="0" w:line="480" w:lineRule="auto"/>
        <w:ind w:firstLine="720"/>
        <w:jc w:val="left"/>
      </w:pPr>
      <w:r>
        <w:rPr>
          <w:rFonts w:ascii="Times New Roman" w:hAnsi="Times New Roman"/>
          <w:b/>
          <w:i w:val="0"/>
          <w:sz w:val="24"/>
          <w:u w:val="none"/>
        </w:rPr>
        <w:t xml:space="preserve">32. </w:t>
      </w:r>
      <w:r>
        <w:rPr>
          <w:rFonts w:ascii="Times New Roman" w:hAnsi="Times New Roman"/>
          <w:b w:val="0"/>
          <w:i w:val="0"/>
          <w:sz w:val="24"/>
          <w:u w:val="none"/>
        </w:rPr>
        <w:t>Respondent systematically denied Complainant due process through the following:</w:t>
      </w:r>
    </w:p>
    <w:p>
      <w:pPr>
        <w:spacing w:after="0" w:before="0" w:line="480" w:lineRule="auto"/>
        <w:ind w:firstLine="720"/>
        <w:jc w:val="left"/>
      </w:pPr>
      <w:r>
        <w:rPr>
          <w:rFonts w:ascii="Times New Roman" w:hAnsi="Times New Roman"/>
          <w:b w:val="0"/>
          <w:i w:val="0"/>
          <w:sz w:val="24"/>
          <w:u w:val="none"/>
        </w:rPr>
        <w:t xml:space="preserve">(a) </w:t>
      </w:r>
      <w:r>
        <w:rPr>
          <w:rFonts w:ascii="Times New Roman" w:hAnsi="Times New Roman"/>
          <w:b/>
          <w:i w:val="0"/>
          <w:sz w:val="24"/>
          <w:u w:val="none"/>
        </w:rPr>
        <w:t>No best-interest hearing</w:t>
      </w:r>
      <w:r>
        <w:rPr>
          <w:rFonts w:ascii="Times New Roman" w:hAnsi="Times New Roman"/>
          <w:b w:val="0"/>
          <w:i w:val="0"/>
          <w:sz w:val="24"/>
          <w:u w:val="none"/>
        </w:rPr>
        <w:t>: Parenting time suspended for 567+ days without a hearing on the twelve best-interest factors under MCL 722.23(a)-(l).</w:t>
      </w:r>
    </w:p>
    <w:p>
      <w:pPr>
        <w:spacing w:after="0" w:before="0" w:line="480" w:lineRule="auto"/>
        <w:ind w:firstLine="720"/>
        <w:jc w:val="left"/>
      </w:pPr>
      <w:r>
        <w:rPr>
          <w:rFonts w:ascii="Times New Roman" w:hAnsi="Times New Roman"/>
          <w:b w:val="0"/>
          <w:i w:val="0"/>
          <w:sz w:val="24"/>
          <w:u w:val="none"/>
        </w:rPr>
        <w:t xml:space="preserve">(b) </w:t>
      </w:r>
      <w:r>
        <w:rPr>
          <w:rFonts w:ascii="Times New Roman" w:hAnsi="Times New Roman"/>
          <w:b/>
          <w:i w:val="0"/>
          <w:sz w:val="24"/>
          <w:u w:val="none"/>
        </w:rPr>
        <w:t>Refusing exculpatory evidence</w:t>
      </w:r>
      <w:r>
        <w:rPr>
          <w:rFonts w:ascii="Times New Roman" w:hAnsi="Times New Roman"/>
          <w:b w:val="0"/>
          <w:i w:val="0"/>
          <w:sz w:val="24"/>
          <w:u w:val="none"/>
        </w:rPr>
        <w:t>: On multiple occasions, Respondent refused to review or admit evidence offered by Complainant, including photographs from the July 29 exchange showing the child comfortable and uninjured, and an exonerating police report dated November 15, 2024.</w:t>
      </w:r>
    </w:p>
    <w:p>
      <w:pPr>
        <w:spacing w:after="0" w:before="0" w:line="480" w:lineRule="auto"/>
        <w:ind w:firstLine="720"/>
        <w:jc w:val="left"/>
      </w:pPr>
      <w:r>
        <w:rPr>
          <w:rFonts w:ascii="Times New Roman" w:hAnsi="Times New Roman"/>
          <w:b w:val="0"/>
          <w:i w:val="0"/>
          <w:sz w:val="24"/>
          <w:u w:val="none"/>
        </w:rPr>
        <w:t xml:space="preserve">(c) </w:t>
      </w:r>
      <w:r>
        <w:rPr>
          <w:rFonts w:ascii="Times New Roman" w:hAnsi="Times New Roman"/>
          <w:b/>
          <w:i w:val="0"/>
          <w:sz w:val="24"/>
          <w:u w:val="none"/>
        </w:rPr>
        <w:t>$250 filing bond</w:t>
      </w:r>
      <w:r>
        <w:rPr>
          <w:rFonts w:ascii="Times New Roman" w:hAnsi="Times New Roman"/>
          <w:b w:val="0"/>
          <w:i w:val="0"/>
          <w:sz w:val="24"/>
          <w:u w:val="none"/>
        </w:rPr>
        <w:t xml:space="preserve">: Respondent imposed a $250 bond requirement for each new motion — a financial barrier to court access that violates </w:t>
      </w:r>
      <w:r>
        <w:rPr>
          <w:rFonts w:ascii="Times New Roman" w:hAnsi="Times New Roman"/>
          <w:b w:val="0"/>
          <w:i/>
          <w:sz w:val="24"/>
          <w:u w:val="none"/>
        </w:rPr>
        <w:t>Boddie v. Connecticut</w:t>
      </w:r>
      <w:r>
        <w:rPr>
          <w:rFonts w:ascii="Times New Roman" w:hAnsi="Times New Roman"/>
          <w:b w:val="0"/>
          <w:i w:val="0"/>
          <w:sz w:val="24"/>
          <w:u w:val="none"/>
        </w:rPr>
        <w:t>, 401 U.S. 371 (1971), which prohibits conditioning access to the courts on ability to pay when fundamental interests are at stake.</w:t>
      </w:r>
    </w:p>
    <w:p>
      <w:pPr>
        <w:spacing w:after="0" w:before="0" w:line="480" w:lineRule="auto"/>
        <w:ind w:firstLine="720"/>
        <w:jc w:val="left"/>
      </w:pPr>
      <w:r>
        <w:rPr>
          <w:rFonts w:ascii="Times New Roman" w:hAnsi="Times New Roman"/>
          <w:b w:val="0"/>
          <w:i w:val="0"/>
          <w:sz w:val="24"/>
          <w:u w:val="none"/>
        </w:rPr>
        <w:t xml:space="preserve">(d) </w:t>
      </w:r>
      <w:r>
        <w:rPr>
          <w:rFonts w:ascii="Times New Roman" w:hAnsi="Times New Roman"/>
          <w:b/>
          <w:i w:val="0"/>
          <w:sz w:val="24"/>
          <w:u w:val="none"/>
        </w:rPr>
        <w:t>Contempt → jail → job loss → housing loss cascade</w:t>
      </w:r>
      <w:r>
        <w:rPr>
          <w:rFonts w:ascii="Times New Roman" w:hAnsi="Times New Roman"/>
          <w:b w:val="0"/>
          <w:i w:val="0"/>
          <w:sz w:val="24"/>
          <w:u w:val="none"/>
        </w:rPr>
        <w:t>: Respondent's contempt findings led to Complainant's incarceration, which caused job loss and housing instability. These consequences were then cited against Complainant in custody proceedings, creating a self-reinforcing cycle of harm.</w:t>
      </w:r>
    </w:p>
    <w:p>
      <w:pPr>
        <w:spacing w:after="0" w:before="0" w:line="480" w:lineRule="auto"/>
        <w:ind w:firstLine="720"/>
        <w:jc w:val="left"/>
      </w:pPr>
      <w:r>
        <w:rPr>
          <w:rFonts w:ascii="Times New Roman" w:hAnsi="Times New Roman"/>
          <w:b/>
          <w:i w:val="0"/>
          <w:sz w:val="24"/>
          <w:u w:val="none"/>
        </w:rPr>
        <w:t xml:space="preserve">33. </w:t>
      </w:r>
      <w:r>
        <w:rPr>
          <w:rFonts w:ascii="Times New Roman" w:hAnsi="Times New Roman"/>
          <w:b w:val="0"/>
          <w:i w:val="0"/>
          <w:sz w:val="24"/>
          <w:u w:val="none"/>
        </w:rPr>
        <w:t>The benchbook documents 87 violations under MCR 3.210(C) (post-judgment hearings without notice) and 35 violations under MCR 3.207 (temporary order deficiencies), all attributed to Respondent.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VII: CANON 1 — FAILURE TO MAINTAIN INTEGRITY OF THE JUDICIARY</w:t>
      </w:r>
    </w:p>
    <w:p>
      <w:pPr>
        <w:spacing w:after="0" w:before="0" w:line="480" w:lineRule="auto"/>
        <w:jc w:val="left"/>
      </w:pPr>
      <w:r>
        <w:rPr>
          <w:rFonts w:ascii="Times New Roman" w:hAnsi="Times New Roman"/>
          <w:b/>
          <w:i w:val="0"/>
          <w:sz w:val="24"/>
          <w:u w:val="single"/>
        </w:rPr>
        <w:t>$250 BOND AS PUNISHMENT FOR EXERCISING LEGAL RIGHTS</w:t>
      </w:r>
    </w:p>
    <w:p>
      <w:pPr>
        <w:spacing w:after="0" w:before="0" w:line="480" w:lineRule="auto"/>
        <w:ind w:firstLine="720"/>
        <w:jc w:val="left"/>
      </w:pPr>
      <w:r>
        <w:rPr>
          <w:rFonts w:ascii="Times New Roman" w:hAnsi="Times New Roman"/>
          <w:b/>
          <w:i w:val="0"/>
          <w:sz w:val="24"/>
          <w:u w:val="none"/>
        </w:rPr>
        <w:t xml:space="preserve">34. </w:t>
      </w:r>
      <w:r>
        <w:rPr>
          <w:rFonts w:ascii="Times New Roman" w:hAnsi="Times New Roman"/>
          <w:b w:val="0"/>
          <w:i w:val="0"/>
          <w:sz w:val="24"/>
          <w:u w:val="none"/>
        </w:rPr>
        <w:t>Canon 1 provides: "A judge should participate in establishing, maintaining, and enforcing high standards of conduct, and should personally observe those standards so that the integrity and independence of the judiciary may be preserved."</w:t>
      </w:r>
    </w:p>
    <w:p>
      <w:pPr>
        <w:spacing w:after="0" w:before="0" w:line="480" w:lineRule="auto"/>
        <w:ind w:firstLine="720"/>
        <w:jc w:val="left"/>
      </w:pPr>
      <w:r>
        <w:rPr>
          <w:rFonts w:ascii="Times New Roman" w:hAnsi="Times New Roman"/>
          <w:b/>
          <w:i w:val="0"/>
          <w:sz w:val="24"/>
          <w:u w:val="none"/>
        </w:rPr>
        <w:t xml:space="preserve">35. </w:t>
      </w:r>
      <w:r>
        <w:rPr>
          <w:rFonts w:ascii="Times New Roman" w:hAnsi="Times New Roman"/>
          <w:b w:val="0"/>
          <w:i w:val="0"/>
          <w:sz w:val="24"/>
          <w:u w:val="none"/>
        </w:rPr>
        <w:t>Respondent imposed a $250 bond requirement for each motion Complainant files, conditioning his ability to access the court on payment. The court record states: "It is further ordered that the Plaintiff must pay a bond of $250 (for each motion) before he may file another motion in this matter."</w:t>
      </w:r>
    </w:p>
    <w:p>
      <w:pPr>
        <w:spacing w:after="0" w:before="0" w:line="480" w:lineRule="auto"/>
        <w:ind w:firstLine="720"/>
        <w:jc w:val="left"/>
      </w:pPr>
      <w:r>
        <w:rPr>
          <w:rFonts w:ascii="Times New Roman" w:hAnsi="Times New Roman"/>
          <w:b/>
          <w:i w:val="0"/>
          <w:sz w:val="24"/>
          <w:u w:val="none"/>
        </w:rPr>
        <w:t xml:space="preserve">36. </w:t>
      </w:r>
      <w:r>
        <w:rPr>
          <w:rFonts w:ascii="Times New Roman" w:hAnsi="Times New Roman"/>
          <w:b w:val="0"/>
          <w:i w:val="0"/>
          <w:sz w:val="24"/>
          <w:u w:val="none"/>
        </w:rPr>
        <w:t>This bond was imposed without a finding that Complainant is a vexatious litigator under MCR 2.625, the applicable procedural mechanism. The bond functions as punishment for exercising Complainant's legal right to file motions in his custody case.</w:t>
      </w:r>
    </w:p>
    <w:p>
      <w:pPr>
        <w:spacing w:after="0" w:before="0" w:line="480" w:lineRule="auto"/>
        <w:ind w:firstLine="720"/>
        <w:jc w:val="left"/>
      </w:pPr>
      <w:r>
        <w:rPr>
          <w:rFonts w:ascii="Times New Roman" w:hAnsi="Times New Roman"/>
          <w:b/>
          <w:i w:val="0"/>
          <w:sz w:val="24"/>
          <w:u w:val="none"/>
        </w:rPr>
        <w:t xml:space="preserve">37. </w:t>
      </w:r>
      <w:r>
        <w:rPr>
          <w:rFonts w:ascii="Times New Roman" w:hAnsi="Times New Roman"/>
          <w:b w:val="0"/>
          <w:i w:val="0"/>
          <w:sz w:val="24"/>
          <w:u w:val="none"/>
        </w:rPr>
        <w:t>The cumulative effect of 1,127 documented judicial violations and 504 benchbook deviations destroys public confidence in the integrity of the judiciary. When a single judge accumulates violations at this magnitude over 27+ months, Canon 1's mandate to "preserve the integrity and independence of the judiciary" is irreconcilably compromised.</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VIII: PATTERN OF BIAS</w:t>
      </w:r>
    </w:p>
    <w:p>
      <w:pPr>
        <w:spacing w:after="0" w:before="0" w:line="480" w:lineRule="auto"/>
        <w:jc w:val="left"/>
      </w:pPr>
      <w:r>
        <w:rPr>
          <w:rFonts w:ascii="Times New Roman" w:hAnsi="Times New Roman"/>
          <w:b/>
          <w:i w:val="0"/>
          <w:sz w:val="24"/>
          <w:u w:val="single"/>
        </w:rPr>
        <w:t>1,127 VIOLATIONS, 504 BENCHBOOK DEVIATIONS — ALL McNEILL</w:t>
      </w:r>
    </w:p>
    <w:p>
      <w:pPr>
        <w:spacing w:after="0" w:before="0" w:line="480" w:lineRule="auto"/>
        <w:ind w:firstLine="720"/>
        <w:jc w:val="left"/>
      </w:pPr>
      <w:r>
        <w:rPr>
          <w:rFonts w:ascii="Times New Roman" w:hAnsi="Times New Roman"/>
          <w:b/>
          <w:i w:val="0"/>
          <w:sz w:val="24"/>
          <w:u w:val="none"/>
        </w:rPr>
        <w:t xml:space="preserve">38. </w:t>
      </w:r>
      <w:r>
        <w:rPr>
          <w:rFonts w:ascii="Times New Roman" w:hAnsi="Times New Roman"/>
          <w:b w:val="0"/>
          <w:i w:val="0"/>
          <w:sz w:val="24"/>
          <w:u w:val="none"/>
        </w:rPr>
        <w:t>MCR 9.202(B) authorizes discipline for "misconduct in office," "persistent failure to perform judicial duties," and "conduct clearly prejudicial to the administration of justice." The evidence satisfies all three grounds through an unprecedented pattern:</w:t>
      </w:r>
    </w:p>
    <w:p>
      <w:pPr>
        <w:spacing w:after="0" w:before="0" w:line="480" w:lineRule="auto"/>
        <w:ind w:firstLine="720"/>
        <w:jc w:val="left"/>
      </w:pPr>
      <w:r>
        <w:rPr>
          <w:rFonts w:ascii="Times New Roman" w:hAnsi="Times New Roman"/>
          <w:b/>
          <w:i w:val="0"/>
          <w:sz w:val="24"/>
          <w:u w:val="none"/>
        </w:rPr>
        <w:t xml:space="preserve">39. </w:t>
      </w:r>
      <w:r>
        <w:rPr>
          <w:rFonts w:ascii="Times New Roman" w:hAnsi="Times New Roman"/>
          <w:b/>
          <w:i w:val="0"/>
          <w:sz w:val="24"/>
          <w:u w:val="none"/>
        </w:rPr>
        <w:t>Judicial violations by category: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sz w:val="20"/>
                <w:u w:val="none"/>
              </w:rPr>
              <w:t>Violation Category</w:t>
            </w:r>
          </w:p>
        </w:tc>
        <w:tc>
          <w:tcPr>
            <w:tcW w:type="dxa" w:w="3120"/>
          </w:tcPr>
          <w:p>
            <w:pPr>
              <w:spacing w:line="240" w:lineRule="auto"/>
            </w:pPr>
            <w:r/>
            <w:r>
              <w:rPr>
                <w:rFonts w:ascii="Times New Roman" w:hAnsi="Times New Roman"/>
                <w:b/>
                <w:i w:val="0"/>
                <w:sz w:val="20"/>
                <w:u w:val="none"/>
              </w:rPr>
              <w:t>Count</w:t>
            </w:r>
          </w:p>
        </w:tc>
        <w:tc>
          <w:tcPr>
            <w:tcW w:type="dxa" w:w="3120"/>
          </w:tcPr>
          <w:p>
            <w:pPr>
              <w:spacing w:line="240" w:lineRule="auto"/>
            </w:pPr>
            <w:r/>
            <w:r>
              <w:rPr>
                <w:rFonts w:ascii="Times New Roman" w:hAnsi="Times New Roman"/>
                <w:b/>
                <w:i w:val="0"/>
                <w:sz w:val="20"/>
                <w:u w:val="none"/>
              </w:rPr>
              <w:t>Severity</w:t>
            </w:r>
          </w:p>
        </w:tc>
      </w:tr>
      <w:tr>
        <w:tc>
          <w:tcPr>
            <w:tcW w:type="dxa" w:w="3120"/>
          </w:tcPr>
          <w:p>
            <w:pPr>
              <w:spacing w:line="240" w:lineRule="auto"/>
            </w:pPr>
            <w:r/>
            <w:r>
              <w:rPr>
                <w:rFonts w:ascii="Times New Roman" w:hAnsi="Times New Roman"/>
                <w:b w:val="0"/>
                <w:i w:val="0"/>
                <w:sz w:val="20"/>
                <w:u w:val="none"/>
              </w:rPr>
              <w:t>MCR 2.003 (Disqualification)</w:t>
            </w:r>
          </w:p>
        </w:tc>
        <w:tc>
          <w:tcPr>
            <w:tcW w:type="dxa" w:w="3120"/>
          </w:tcPr>
          <w:p>
            <w:pPr>
              <w:spacing w:line="240" w:lineRule="auto"/>
            </w:pPr>
            <w:r/>
            <w:r>
              <w:rPr>
                <w:rFonts w:ascii="Times New Roman" w:hAnsi="Times New Roman"/>
                <w:b w:val="0"/>
                <w:i w:val="0"/>
                <w:sz w:val="20"/>
                <w:u w:val="none"/>
              </w:rPr>
              <w:t>167</w:t>
            </w:r>
          </w:p>
        </w:tc>
        <w:tc>
          <w:tcPr>
            <w:tcW w:type="dxa" w:w="3120"/>
          </w:tcPr>
          <w:p>
            <w:pPr>
              <w:spacing w:line="240" w:lineRule="auto"/>
            </w:pPr>
            <w:r/>
            <w:r>
              <w:rPr>
                <w:rFonts w:ascii="Times New Roman" w:hAnsi="Times New Roman"/>
                <w:b w:val="0"/>
                <w:i w:val="0"/>
                <w:sz w:val="20"/>
                <w:u w:val="none"/>
              </w:rPr>
              <w:t>Self-ruling on own recusal</w:t>
            </w:r>
          </w:p>
        </w:tc>
      </w:tr>
      <w:tr>
        <w:tc>
          <w:tcPr>
            <w:tcW w:type="dxa" w:w="3120"/>
          </w:tcPr>
          <w:p>
            <w:pPr>
              <w:spacing w:line="240" w:lineRule="auto"/>
            </w:pPr>
            <w:r/>
            <w:r>
              <w:rPr>
                <w:rFonts w:ascii="Times New Roman" w:hAnsi="Times New Roman"/>
                <w:b w:val="0"/>
                <w:i w:val="0"/>
                <w:sz w:val="20"/>
                <w:u w:val="none"/>
              </w:rPr>
              <w:t>PROCEDURAL_MISCONDUCT</w:t>
            </w:r>
          </w:p>
        </w:tc>
        <w:tc>
          <w:tcPr>
            <w:tcW w:type="dxa" w:w="3120"/>
          </w:tcPr>
          <w:p>
            <w:pPr>
              <w:spacing w:line="240" w:lineRule="auto"/>
            </w:pPr>
            <w:r/>
            <w:r>
              <w:rPr>
                <w:rFonts w:ascii="Times New Roman" w:hAnsi="Times New Roman"/>
                <w:b w:val="0"/>
                <w:i w:val="0"/>
                <w:sz w:val="20"/>
                <w:u w:val="none"/>
              </w:rPr>
              <w:t>161</w:t>
            </w:r>
          </w:p>
        </w:tc>
        <w:tc>
          <w:tcPr>
            <w:tcW w:type="dxa" w:w="3120"/>
          </w:tcPr>
          <w:p>
            <w:pPr>
              <w:spacing w:line="240" w:lineRule="auto"/>
            </w:pPr>
            <w:r/>
            <w:r>
              <w:rPr>
                <w:rFonts w:ascii="Times New Roman" w:hAnsi="Times New Roman"/>
                <w:b w:val="0"/>
                <w:i w:val="0"/>
                <w:sz w:val="20"/>
                <w:u w:val="none"/>
              </w:rPr>
              <w:t>Systemic process failures</w:t>
            </w:r>
          </w:p>
        </w:tc>
      </w:tr>
      <w:tr>
        <w:tc>
          <w:tcPr>
            <w:tcW w:type="dxa" w:w="3120"/>
          </w:tcPr>
          <w:p>
            <w:pPr>
              <w:spacing w:line="240" w:lineRule="auto"/>
            </w:pPr>
            <w:r/>
            <w:r>
              <w:rPr>
                <w:rFonts w:ascii="Times New Roman" w:hAnsi="Times New Roman"/>
                <w:b w:val="0"/>
                <w:i w:val="0"/>
                <w:sz w:val="20"/>
                <w:u w:val="none"/>
              </w:rPr>
              <w:t>EX_PARTE_VIOLATION</w:t>
            </w:r>
          </w:p>
        </w:tc>
        <w:tc>
          <w:tcPr>
            <w:tcW w:type="dxa" w:w="3120"/>
          </w:tcPr>
          <w:p>
            <w:pPr>
              <w:spacing w:line="240" w:lineRule="auto"/>
            </w:pPr>
            <w:r/>
            <w:r>
              <w:rPr>
                <w:rFonts w:ascii="Times New Roman" w:hAnsi="Times New Roman"/>
                <w:b w:val="0"/>
                <w:i w:val="0"/>
                <w:sz w:val="20"/>
                <w:u w:val="none"/>
              </w:rPr>
              <w:t>150</w:t>
            </w:r>
          </w:p>
        </w:tc>
        <w:tc>
          <w:tcPr>
            <w:tcW w:type="dxa" w:w="3120"/>
          </w:tcPr>
          <w:p>
            <w:pPr>
              <w:spacing w:line="240" w:lineRule="auto"/>
            </w:pPr>
            <w:r/>
            <w:r>
              <w:rPr>
                <w:rFonts w:ascii="Times New Roman" w:hAnsi="Times New Roman"/>
                <w:b w:val="0"/>
                <w:i w:val="0"/>
                <w:sz w:val="20"/>
                <w:u w:val="none"/>
              </w:rPr>
              <w:t>43.6% ex parte order rate</w:t>
            </w:r>
          </w:p>
        </w:tc>
      </w:tr>
      <w:tr>
        <w:tc>
          <w:tcPr>
            <w:tcW w:type="dxa" w:w="3120"/>
          </w:tcPr>
          <w:p>
            <w:pPr>
              <w:spacing w:line="240" w:lineRule="auto"/>
            </w:pPr>
            <w:r/>
            <w:r>
              <w:rPr>
                <w:rFonts w:ascii="Times New Roman" w:hAnsi="Times New Roman"/>
                <w:b w:val="0"/>
                <w:i w:val="0"/>
                <w:sz w:val="20"/>
                <w:u w:val="none"/>
              </w:rPr>
              <w:t>MCL 600.2950/MCR 3.207(B) PPO abuse</w:t>
            </w:r>
          </w:p>
        </w:tc>
        <w:tc>
          <w:tcPr>
            <w:tcW w:type="dxa" w:w="3120"/>
          </w:tcPr>
          <w:p>
            <w:pPr>
              <w:spacing w:line="240" w:lineRule="auto"/>
            </w:pPr>
            <w:r/>
            <w:r>
              <w:rPr>
                <w:rFonts w:ascii="Times New Roman" w:hAnsi="Times New Roman"/>
                <w:b w:val="0"/>
                <w:i w:val="0"/>
                <w:sz w:val="20"/>
                <w:u w:val="none"/>
              </w:rPr>
              <w:t>126</w:t>
            </w:r>
          </w:p>
        </w:tc>
        <w:tc>
          <w:tcPr>
            <w:tcW w:type="dxa" w:w="3120"/>
          </w:tcPr>
          <w:p>
            <w:pPr>
              <w:spacing w:line="240" w:lineRule="auto"/>
            </w:pPr>
            <w:r/>
            <w:r>
              <w:rPr>
                <w:rFonts w:ascii="Times New Roman" w:hAnsi="Times New Roman"/>
                <w:b w:val="0"/>
                <w:i w:val="0"/>
                <w:sz w:val="20"/>
                <w:u w:val="none"/>
              </w:rPr>
              <w:t>PPO weaponization facilitation</w:t>
            </w:r>
          </w:p>
        </w:tc>
      </w:tr>
      <w:tr>
        <w:tc>
          <w:tcPr>
            <w:tcW w:type="dxa" w:w="3120"/>
          </w:tcPr>
          <w:p>
            <w:pPr>
              <w:spacing w:line="240" w:lineRule="auto"/>
            </w:pPr>
            <w:r/>
            <w:r>
              <w:rPr>
                <w:rFonts w:ascii="Times New Roman" w:hAnsi="Times New Roman"/>
                <w:b w:val="0"/>
                <w:i w:val="0"/>
                <w:sz w:val="20"/>
                <w:u w:val="none"/>
              </w:rPr>
              <w:t>MCR 2.107/MCR 2.612(C) Service/Relief</w:t>
            </w:r>
          </w:p>
        </w:tc>
        <w:tc>
          <w:tcPr>
            <w:tcW w:type="dxa" w:w="3120"/>
          </w:tcPr>
          <w:p>
            <w:pPr>
              <w:spacing w:line="240" w:lineRule="auto"/>
            </w:pPr>
            <w:r/>
            <w:r>
              <w:rPr>
                <w:rFonts w:ascii="Times New Roman" w:hAnsi="Times New Roman"/>
                <w:b w:val="0"/>
                <w:i w:val="0"/>
                <w:sz w:val="20"/>
                <w:u w:val="none"/>
              </w:rPr>
              <w:t>105</w:t>
            </w:r>
          </w:p>
        </w:tc>
        <w:tc>
          <w:tcPr>
            <w:tcW w:type="dxa" w:w="3120"/>
          </w:tcPr>
          <w:p>
            <w:pPr>
              <w:spacing w:line="240" w:lineRule="auto"/>
            </w:pPr>
            <w:r/>
            <w:r>
              <w:rPr>
                <w:rFonts w:ascii="Times New Roman" w:hAnsi="Times New Roman"/>
                <w:b w:val="0"/>
                <w:i w:val="0"/>
                <w:sz w:val="20"/>
                <w:u w:val="none"/>
              </w:rPr>
              <w:t>Service and due process failures</w:t>
            </w:r>
          </w:p>
        </w:tc>
      </w:tr>
      <w:tr>
        <w:tc>
          <w:tcPr>
            <w:tcW w:type="dxa" w:w="3120"/>
          </w:tcPr>
          <w:p>
            <w:pPr>
              <w:spacing w:line="240" w:lineRule="auto"/>
            </w:pPr>
            <w:r/>
            <w:r>
              <w:rPr>
                <w:rFonts w:ascii="Times New Roman" w:hAnsi="Times New Roman"/>
                <w:b w:val="0"/>
                <w:i w:val="0"/>
                <w:sz w:val="20"/>
                <w:u w:val="none"/>
              </w:rPr>
              <w:t>MCL 600.2950a + Canons 2/3</w:t>
            </w:r>
          </w:p>
        </w:tc>
        <w:tc>
          <w:tcPr>
            <w:tcW w:type="dxa" w:w="3120"/>
          </w:tcPr>
          <w:p>
            <w:pPr>
              <w:spacing w:line="240" w:lineRule="auto"/>
            </w:pPr>
            <w:r/>
            <w:r>
              <w:rPr>
                <w:rFonts w:ascii="Times New Roman" w:hAnsi="Times New Roman"/>
                <w:b w:val="0"/>
                <w:i w:val="0"/>
                <w:sz w:val="20"/>
                <w:u w:val="none"/>
              </w:rPr>
              <w:t>62</w:t>
            </w:r>
          </w:p>
        </w:tc>
        <w:tc>
          <w:tcPr>
            <w:tcW w:type="dxa" w:w="3120"/>
          </w:tcPr>
          <w:p>
            <w:pPr>
              <w:spacing w:line="240" w:lineRule="auto"/>
            </w:pPr>
            <w:r/>
            <w:r>
              <w:rPr>
                <w:rFonts w:ascii="Times New Roman" w:hAnsi="Times New Roman"/>
                <w:b w:val="0"/>
                <w:i w:val="0"/>
                <w:sz w:val="20"/>
                <w:u w:val="none"/>
              </w:rPr>
              <w:t>Combined PPO + Canon violations</w:t>
            </w:r>
          </w:p>
        </w:tc>
      </w:tr>
      <w:tr>
        <w:tc>
          <w:tcPr>
            <w:tcW w:type="dxa" w:w="3120"/>
          </w:tcPr>
          <w:p>
            <w:pPr>
              <w:spacing w:line="240" w:lineRule="auto"/>
            </w:pPr>
            <w:r/>
            <w:r>
              <w:rPr>
                <w:rFonts w:ascii="Times New Roman" w:hAnsi="Times New Roman"/>
                <w:b w:val="0"/>
                <w:i w:val="0"/>
                <w:sz w:val="20"/>
                <w:u w:val="none"/>
              </w:rPr>
              <w:t>MRE 613(b) Prior inconsistent statements</w:t>
            </w:r>
          </w:p>
        </w:tc>
        <w:tc>
          <w:tcPr>
            <w:tcW w:type="dxa" w:w="3120"/>
          </w:tcPr>
          <w:p>
            <w:pPr>
              <w:spacing w:line="240" w:lineRule="auto"/>
            </w:pPr>
            <w:r/>
            <w:r>
              <w:rPr>
                <w:rFonts w:ascii="Times New Roman" w:hAnsi="Times New Roman"/>
                <w:b w:val="0"/>
                <w:i w:val="0"/>
                <w:sz w:val="20"/>
                <w:u w:val="none"/>
              </w:rPr>
              <w:t>51</w:t>
            </w:r>
          </w:p>
        </w:tc>
        <w:tc>
          <w:tcPr>
            <w:tcW w:type="dxa" w:w="3120"/>
          </w:tcPr>
          <w:p>
            <w:pPr>
              <w:spacing w:line="240" w:lineRule="auto"/>
            </w:pPr>
            <w:r/>
            <w:r>
              <w:rPr>
                <w:rFonts w:ascii="Times New Roman" w:hAnsi="Times New Roman"/>
                <w:b w:val="0"/>
                <w:i w:val="0"/>
                <w:sz w:val="20"/>
                <w:u w:val="none"/>
              </w:rPr>
              <w:t>Hearing-context inconsistencies</w:t>
            </w:r>
          </w:p>
        </w:tc>
      </w:tr>
      <w:tr>
        <w:tc>
          <w:tcPr>
            <w:tcW w:type="dxa" w:w="3120"/>
          </w:tcPr>
          <w:p>
            <w:pPr>
              <w:spacing w:line="240" w:lineRule="auto"/>
            </w:pPr>
            <w:r/>
            <w:r>
              <w:rPr>
                <w:rFonts w:ascii="Times New Roman" w:hAnsi="Times New Roman"/>
                <w:b w:val="0"/>
                <w:i w:val="0"/>
                <w:sz w:val="20"/>
                <w:u w:val="none"/>
              </w:rPr>
              <w:t>CREDIBILITY_FAILURE</w:t>
            </w:r>
          </w:p>
        </w:tc>
        <w:tc>
          <w:tcPr>
            <w:tcW w:type="dxa" w:w="3120"/>
          </w:tcPr>
          <w:p>
            <w:pPr>
              <w:spacing w:line="240" w:lineRule="auto"/>
            </w:pPr>
            <w:r/>
            <w:r>
              <w:rPr>
                <w:rFonts w:ascii="Times New Roman" w:hAnsi="Times New Roman"/>
                <w:b w:val="0"/>
                <w:i w:val="0"/>
                <w:sz w:val="20"/>
                <w:u w:val="none"/>
              </w:rPr>
              <w:t>51</w:t>
            </w:r>
          </w:p>
        </w:tc>
        <w:tc>
          <w:tcPr>
            <w:tcW w:type="dxa" w:w="3120"/>
          </w:tcPr>
          <w:p>
            <w:pPr>
              <w:spacing w:line="240" w:lineRule="auto"/>
            </w:pPr>
            <w:r/>
            <w:r>
              <w:rPr>
                <w:rFonts w:ascii="Times New Roman" w:hAnsi="Times New Roman"/>
                <w:b w:val="0"/>
                <w:i w:val="0"/>
                <w:sz w:val="20"/>
                <w:u w:val="none"/>
              </w:rPr>
              <w:t>Failed to assess witness credibility</w:t>
            </w:r>
          </w:p>
        </w:tc>
      </w:tr>
    </w:tbl>
    <w:p/>
    <w:p>
      <w:pPr>
        <w:spacing w:after="0" w:before="0" w:line="480" w:lineRule="auto"/>
        <w:ind w:firstLine="720"/>
        <w:jc w:val="left"/>
      </w:pPr>
      <w:r>
        <w:rPr>
          <w:rFonts w:ascii="Times New Roman" w:hAnsi="Times New Roman"/>
          <w:b/>
          <w:i w:val="0"/>
          <w:sz w:val="24"/>
          <w:u w:val="none"/>
        </w:rPr>
        <w:t xml:space="preserve">40. </w:t>
      </w:r>
      <w:r>
        <w:rPr>
          <w:rFonts w:ascii="Times New Roman" w:hAnsi="Times New Roman"/>
          <w:b/>
          <w:i w:val="0"/>
          <w:sz w:val="24"/>
          <w:u w:val="none"/>
        </w:rPr>
        <w:t>Severity distribution:</w:t>
      </w:r>
      <w:r>
        <w:rPr>
          <w:rFonts w:ascii="Times New Roman" w:hAnsi="Times New Roman"/>
          <w:b w:val="0"/>
          <w:i w:val="0"/>
          <w:sz w:val="24"/>
          <w:u w:val="none"/>
        </w:rPr>
        <w:t xml:space="preserve"> 377 critical (33.5%); 243 high (21.6%); 484 medium (42.9%); 23 low (2.0%). Over 620 violations rated CRITICAL or HIGH — this is not an isolated incident.</w:t>
      </w:r>
    </w:p>
    <w:p>
      <w:pPr>
        <w:spacing w:after="0" w:before="0" w:line="480" w:lineRule="auto"/>
        <w:ind w:firstLine="720"/>
        <w:jc w:val="left"/>
      </w:pPr>
      <w:r>
        <w:rPr>
          <w:rFonts w:ascii="Times New Roman" w:hAnsi="Times New Roman"/>
          <w:b/>
          <w:i w:val="0"/>
          <w:sz w:val="24"/>
          <w:u w:val="none"/>
        </w:rPr>
        <w:t xml:space="preserve">41. </w:t>
      </w:r>
      <w:r>
        <w:rPr>
          <w:rFonts w:ascii="Times New Roman" w:hAnsi="Times New Roman"/>
          <w:b/>
          <w:i w:val="0"/>
          <w:sz w:val="24"/>
          <w:u w:val="none"/>
        </w:rPr>
        <w:t>Benchbook deviations: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i w:val="0"/>
                <w:sz w:val="20"/>
                <w:u w:val="none"/>
              </w:rPr>
              <w:t>Benchbook Standard</w:t>
            </w:r>
          </w:p>
        </w:tc>
        <w:tc>
          <w:tcPr>
            <w:tcW w:type="dxa" w:w="4680"/>
          </w:tcPr>
          <w:p>
            <w:pPr>
              <w:spacing w:line="240" w:lineRule="auto"/>
            </w:pPr>
            <w:r/>
            <w:r>
              <w:rPr>
                <w:rFonts w:ascii="Times New Roman" w:hAnsi="Times New Roman"/>
                <w:b/>
                <w:i w:val="0"/>
                <w:sz w:val="20"/>
                <w:u w:val="none"/>
              </w:rPr>
              <w:t>Violations</w:t>
            </w:r>
          </w:p>
        </w:tc>
      </w:tr>
      <w:tr>
        <w:tc>
          <w:tcPr>
            <w:tcW w:type="dxa" w:w="4680"/>
          </w:tcPr>
          <w:p>
            <w:pPr>
              <w:spacing w:line="240" w:lineRule="auto"/>
            </w:pPr>
            <w:r/>
            <w:r>
              <w:rPr>
                <w:rFonts w:ascii="Times New Roman" w:hAnsi="Times New Roman"/>
                <w:b w:val="0"/>
                <w:i w:val="0"/>
                <w:sz w:val="20"/>
                <w:u w:val="none"/>
              </w:rPr>
              <w:t>Canon 2(B) — Relationships influencing conduct</w:t>
            </w:r>
          </w:p>
        </w:tc>
        <w:tc>
          <w:tcPr>
            <w:tcW w:type="dxa" w:w="4680"/>
          </w:tcPr>
          <w:p>
            <w:pPr>
              <w:spacing w:line="240" w:lineRule="auto"/>
            </w:pPr>
            <w:r/>
            <w:r>
              <w:rPr>
                <w:rFonts w:ascii="Times New Roman" w:hAnsi="Times New Roman"/>
                <w:b w:val="0"/>
                <w:i w:val="0"/>
                <w:sz w:val="20"/>
                <w:u w:val="none"/>
              </w:rPr>
              <w:t>150</w:t>
            </w:r>
          </w:p>
        </w:tc>
      </w:tr>
      <w:tr>
        <w:tc>
          <w:tcPr>
            <w:tcW w:type="dxa" w:w="4680"/>
          </w:tcPr>
          <w:p>
            <w:pPr>
              <w:spacing w:line="240" w:lineRule="auto"/>
            </w:pPr>
            <w:r/>
            <w:r>
              <w:rPr>
                <w:rFonts w:ascii="Times New Roman" w:hAnsi="Times New Roman"/>
                <w:b w:val="0"/>
                <w:i w:val="0"/>
                <w:sz w:val="20"/>
                <w:u w:val="none"/>
              </w:rPr>
              <w:t>MCL 552.511b — Parenting time enforcement</w:t>
            </w:r>
          </w:p>
        </w:tc>
        <w:tc>
          <w:tcPr>
            <w:tcW w:type="dxa" w:w="4680"/>
          </w:tcPr>
          <w:p>
            <w:pPr>
              <w:spacing w:line="240" w:lineRule="auto"/>
            </w:pPr>
            <w:r/>
            <w:r>
              <w:rPr>
                <w:rFonts w:ascii="Times New Roman" w:hAnsi="Times New Roman"/>
                <w:b w:val="0"/>
                <w:i w:val="0"/>
                <w:sz w:val="20"/>
                <w:u w:val="none"/>
              </w:rPr>
              <w:t>99</w:t>
            </w:r>
          </w:p>
        </w:tc>
      </w:tr>
      <w:tr>
        <w:tc>
          <w:tcPr>
            <w:tcW w:type="dxa" w:w="4680"/>
          </w:tcPr>
          <w:p>
            <w:pPr>
              <w:spacing w:line="240" w:lineRule="auto"/>
            </w:pPr>
            <w:r/>
            <w:r>
              <w:rPr>
                <w:rFonts w:ascii="Times New Roman" w:hAnsi="Times New Roman"/>
                <w:b w:val="0"/>
                <w:i w:val="0"/>
                <w:sz w:val="20"/>
                <w:u w:val="none"/>
              </w:rPr>
              <w:t>MCR 3.207(B) — Ex parte order requirements</w:t>
            </w:r>
          </w:p>
        </w:tc>
        <w:tc>
          <w:tcPr>
            <w:tcW w:type="dxa" w:w="4680"/>
          </w:tcPr>
          <w:p>
            <w:pPr>
              <w:spacing w:line="240" w:lineRule="auto"/>
            </w:pPr>
            <w:r/>
            <w:r>
              <w:rPr>
                <w:rFonts w:ascii="Times New Roman" w:hAnsi="Times New Roman"/>
                <w:b w:val="0"/>
                <w:i w:val="0"/>
                <w:sz w:val="20"/>
                <w:u w:val="none"/>
              </w:rPr>
              <w:t>96</w:t>
            </w:r>
          </w:p>
        </w:tc>
      </w:tr>
      <w:tr>
        <w:tc>
          <w:tcPr>
            <w:tcW w:type="dxa" w:w="4680"/>
          </w:tcPr>
          <w:p>
            <w:pPr>
              <w:spacing w:line="240" w:lineRule="auto"/>
            </w:pPr>
            <w:r/>
            <w:r>
              <w:rPr>
                <w:rFonts w:ascii="Times New Roman" w:hAnsi="Times New Roman"/>
                <w:b w:val="0"/>
                <w:i w:val="0"/>
                <w:sz w:val="20"/>
                <w:u w:val="none"/>
              </w:rPr>
              <w:t>MCR 3.210(C) — Post-judgment hearing notice</w:t>
            </w:r>
          </w:p>
        </w:tc>
        <w:tc>
          <w:tcPr>
            <w:tcW w:type="dxa" w:w="4680"/>
          </w:tcPr>
          <w:p>
            <w:pPr>
              <w:spacing w:line="240" w:lineRule="auto"/>
            </w:pPr>
            <w:r/>
            <w:r>
              <w:rPr>
                <w:rFonts w:ascii="Times New Roman" w:hAnsi="Times New Roman"/>
                <w:b w:val="0"/>
                <w:i w:val="0"/>
                <w:sz w:val="20"/>
                <w:u w:val="none"/>
              </w:rPr>
              <w:t>87</w:t>
            </w:r>
          </w:p>
        </w:tc>
      </w:tr>
      <w:tr>
        <w:tc>
          <w:tcPr>
            <w:tcW w:type="dxa" w:w="4680"/>
          </w:tcPr>
          <w:p>
            <w:pPr>
              <w:spacing w:line="240" w:lineRule="auto"/>
            </w:pPr>
            <w:r/>
            <w:r>
              <w:rPr>
                <w:rFonts w:ascii="Times New Roman" w:hAnsi="Times New Roman"/>
                <w:b w:val="0"/>
                <w:i w:val="0"/>
                <w:sz w:val="20"/>
                <w:u w:val="none"/>
              </w:rPr>
              <w:t>Canon 3(A)(4) — Right to be heard</w:t>
            </w:r>
          </w:p>
        </w:tc>
        <w:tc>
          <w:tcPr>
            <w:tcW w:type="dxa" w:w="4680"/>
          </w:tcPr>
          <w:p>
            <w:pPr>
              <w:spacing w:line="240" w:lineRule="auto"/>
            </w:pPr>
            <w:r/>
            <w:r>
              <w:rPr>
                <w:rFonts w:ascii="Times New Roman" w:hAnsi="Times New Roman"/>
                <w:b w:val="0"/>
                <w:i w:val="0"/>
                <w:sz w:val="20"/>
                <w:u w:val="none"/>
              </w:rPr>
              <w:t>72</w:t>
            </w:r>
          </w:p>
        </w:tc>
      </w:tr>
    </w:tbl>
    <w:p/>
    <w:p>
      <w:pPr>
        <w:spacing w:after="0" w:before="0" w:line="480" w:lineRule="auto"/>
        <w:ind w:firstLine="720"/>
        <w:jc w:val="left"/>
      </w:pPr>
      <w:r>
        <w:rPr>
          <w:rFonts w:ascii="Times New Roman" w:hAnsi="Times New Roman"/>
          <w:b/>
          <w:i w:val="0"/>
          <w:sz w:val="24"/>
          <w:u w:val="none"/>
        </w:rPr>
        <w:t xml:space="preserve">42. </w:t>
      </w:r>
      <w:r>
        <w:rPr>
          <w:rFonts w:ascii="Times New Roman" w:hAnsi="Times New Roman"/>
          <w:b w:val="0"/>
          <w:i w:val="0"/>
          <w:sz w:val="24"/>
          <w:u w:val="none"/>
        </w:rPr>
        <w:t>Every one of the 504 benchbook violations is attributed to "Hon. Jenny L. McNeill" — no other judge. The pattern spans 27+ months across two separate cases with no period of improvement or correction.</w:t>
      </w:r>
    </w:p>
    <w:p>
      <w:pPr>
        <w:spacing w:after="0" w:before="0" w:line="480" w:lineRule="auto"/>
        <w:ind w:firstLine="720"/>
        <w:jc w:val="left"/>
      </w:pPr>
      <w:r>
        <w:rPr>
          <w:rFonts w:ascii="Times New Roman" w:hAnsi="Times New Roman"/>
          <w:b/>
          <w:i w:val="0"/>
          <w:sz w:val="24"/>
          <w:u w:val="none"/>
        </w:rPr>
        <w:t xml:space="preserve">43. </w:t>
      </w:r>
      <w:r>
        <w:rPr>
          <w:rFonts w:ascii="Times New Roman" w:hAnsi="Times New Roman"/>
          <w:b w:val="0"/>
          <w:i w:val="0"/>
          <w:sz w:val="24"/>
          <w:u w:val="none"/>
        </w:rPr>
        <w:t>The contradiction map documents 10,672 contradictions: 6,600 timeline contradictions; 3,253 inconsistent statements; 629 testimony-versus-document conflicts; and 170 cross-speaker contradictions.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COUNT IX: AUGUST 8, 2025 MASS EX PARTE ORDERS</w:t>
      </w:r>
    </w:p>
    <w:p>
      <w:pPr>
        <w:spacing w:after="0" w:before="0" w:line="480" w:lineRule="auto"/>
        <w:jc w:val="left"/>
      </w:pPr>
      <w:r>
        <w:rPr>
          <w:rFonts w:ascii="Times New Roman" w:hAnsi="Times New Roman"/>
          <w:b/>
          <w:i w:val="0"/>
          <w:sz w:val="24"/>
          <w:u w:val="single"/>
        </w:rPr>
        <w:t>THE CAPSTONE VIOLATION: 5 EX PARTE ORDERS IN ONE DAY</w:t>
      </w:r>
    </w:p>
    <w:p>
      <w:pPr>
        <w:spacing w:after="0" w:before="0" w:line="480" w:lineRule="auto"/>
        <w:ind w:firstLine="720"/>
        <w:jc w:val="left"/>
      </w:pPr>
      <w:r>
        <w:rPr>
          <w:rFonts w:ascii="Times New Roman" w:hAnsi="Times New Roman"/>
          <w:b/>
          <w:i w:val="0"/>
          <w:sz w:val="24"/>
          <w:u w:val="none"/>
        </w:rPr>
        <w:t xml:space="preserve">44. </w:t>
      </w:r>
      <w:r>
        <w:rPr>
          <w:rFonts w:ascii="Times New Roman" w:hAnsi="Times New Roman"/>
          <w:b w:val="0"/>
          <w:i w:val="0"/>
          <w:sz w:val="24"/>
          <w:u w:val="none"/>
        </w:rPr>
        <w:t>August 8, 2025 represents the single most damaging day in these proceedings and encapsulates the entire pattern of misconduct documented in Counts I through VIII.</w:t>
      </w:r>
    </w:p>
    <w:p>
      <w:pPr>
        <w:spacing w:after="0" w:before="0" w:line="480" w:lineRule="auto"/>
        <w:ind w:firstLine="720"/>
        <w:jc w:val="left"/>
      </w:pPr>
      <w:r>
        <w:rPr>
          <w:rFonts w:ascii="Times New Roman" w:hAnsi="Times New Roman"/>
          <w:b/>
          <w:i w:val="0"/>
          <w:sz w:val="24"/>
          <w:u w:val="none"/>
        </w:rPr>
        <w:t xml:space="preserve">45. </w:t>
      </w:r>
      <w:r>
        <w:rPr>
          <w:rFonts w:ascii="Times New Roman" w:hAnsi="Times New Roman"/>
          <w:b w:val="0"/>
          <w:i w:val="0"/>
          <w:sz w:val="24"/>
          <w:u w:val="none"/>
        </w:rPr>
        <w:t>On this date:</w:t>
      </w:r>
    </w:p>
    <w:p>
      <w:pPr>
        <w:spacing w:after="0" w:before="0" w:line="480" w:lineRule="auto"/>
        <w:ind w:firstLine="720"/>
        <w:jc w:val="left"/>
      </w:pPr>
      <w:r>
        <w:rPr>
          <w:rFonts w:ascii="Times New Roman" w:hAnsi="Times New Roman"/>
          <w:b w:val="0"/>
          <w:i w:val="0"/>
          <w:sz w:val="24"/>
          <w:u w:val="none"/>
        </w:rPr>
        <w:t>(a) Emily Watson filed an "EMERGENCY EX PARTE MOTION TO SUSPEND PLAINTIFF'S PARENTING TIME."</w:t>
      </w:r>
    </w:p>
    <w:p>
      <w:pPr>
        <w:spacing w:after="0" w:before="0" w:line="480" w:lineRule="auto"/>
        <w:ind w:firstLine="720"/>
        <w:jc w:val="left"/>
      </w:pPr>
      <w:r>
        <w:rPr>
          <w:rFonts w:ascii="Times New Roman" w:hAnsi="Times New Roman"/>
          <w:b w:val="0"/>
          <w:i w:val="0"/>
          <w:sz w:val="24"/>
          <w:u w:val="none"/>
        </w:rPr>
        <w:t>(b) Respondent Judge McNeill entered an ORDER REGARDING DEFENDANT'S EX PARTE MOTION — same day.</w:t>
      </w:r>
    </w:p>
    <w:p>
      <w:pPr>
        <w:spacing w:after="0" w:before="0" w:line="480" w:lineRule="auto"/>
        <w:ind w:firstLine="720"/>
        <w:jc w:val="left"/>
      </w:pPr>
      <w:r>
        <w:rPr>
          <w:rFonts w:ascii="Times New Roman" w:hAnsi="Times New Roman"/>
          <w:b w:val="0"/>
          <w:i w:val="0"/>
          <w:sz w:val="24"/>
          <w:u w:val="none"/>
        </w:rPr>
        <w:t>(c) Five separate ex parte orders were entered, all suspending Complainant's parenting time without prior notice or hearing.</w:t>
      </w:r>
    </w:p>
    <w:p>
      <w:pPr>
        <w:spacing w:after="0" w:before="0" w:line="480" w:lineRule="auto"/>
        <w:ind w:firstLine="720"/>
        <w:jc w:val="left"/>
      </w:pPr>
      <w:r>
        <w:rPr>
          <w:rFonts w:ascii="Times New Roman" w:hAnsi="Times New Roman"/>
          <w:b w:val="0"/>
          <w:i w:val="0"/>
          <w:sz w:val="24"/>
          <w:u w:val="none"/>
        </w:rPr>
        <w:t>(d) Complainant arrived for his scheduled parenting time exchange with no knowledge of the ex parte orders: "I arrived expecting my regular parenting time, and only discovered after the missed exchange—by contacting the court—that my parenting time had been suspended."</w:t>
      </w:r>
    </w:p>
    <w:p>
      <w:pPr>
        <w:spacing w:after="0" w:before="0" w:line="480" w:lineRule="auto"/>
        <w:ind w:firstLine="720"/>
        <w:jc w:val="left"/>
      </w:pPr>
      <w:r>
        <w:rPr>
          <w:rFonts w:ascii="Times New Roman" w:hAnsi="Times New Roman"/>
          <w:b w:val="0"/>
          <w:i w:val="0"/>
          <w:sz w:val="24"/>
          <w:u w:val="none"/>
        </w:rPr>
        <w:t>(e) The motion was based solely on unsworn allegations: "The Court's decision to suspend parenting time on August 8, 2025 was based solely on allegations and unsworn evidence."</w:t>
      </w:r>
    </w:p>
    <w:p>
      <w:pPr>
        <w:spacing w:after="0" w:before="0" w:line="480" w:lineRule="auto"/>
        <w:ind w:firstLine="720"/>
        <w:jc w:val="left"/>
      </w:pPr>
      <w:r>
        <w:rPr>
          <w:rFonts w:ascii="Times New Roman" w:hAnsi="Times New Roman"/>
          <w:b w:val="0"/>
          <w:i w:val="0"/>
          <w:sz w:val="24"/>
          <w:u w:val="none"/>
        </w:rPr>
        <w:t>(f) No specific findings of immediate harm were made: the motion "fails to allege that delaying for [a hearing would cause irreparable harm]."</w:t>
      </w:r>
    </w:p>
    <w:p>
      <w:pPr>
        <w:spacing w:after="0" w:before="0" w:line="480" w:lineRule="auto"/>
        <w:ind w:firstLine="720"/>
        <w:jc w:val="left"/>
      </w:pPr>
      <w:r>
        <w:rPr>
          <w:rFonts w:ascii="Times New Roman" w:hAnsi="Times New Roman"/>
          <w:b/>
          <w:i w:val="0"/>
          <w:sz w:val="24"/>
          <w:u w:val="none"/>
        </w:rPr>
        <w:t xml:space="preserve">46. </w:t>
      </w:r>
      <w:r>
        <w:rPr>
          <w:rFonts w:ascii="Times New Roman" w:hAnsi="Times New Roman"/>
          <w:b w:val="0"/>
          <w:i w:val="0"/>
          <w:sz w:val="24"/>
          <w:u w:val="none"/>
        </w:rPr>
        <w:t>Every requirement of MCR 3.207 was violated: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sz w:val="20"/>
                <w:u w:val="none"/>
              </w:rPr>
              <w:t>MCR 3.207 Requirement</w:t>
            </w:r>
          </w:p>
        </w:tc>
        <w:tc>
          <w:tcPr>
            <w:tcW w:type="dxa" w:w="3120"/>
          </w:tcPr>
          <w:p>
            <w:pPr>
              <w:spacing w:line="240" w:lineRule="auto"/>
            </w:pPr>
            <w:r/>
            <w:r>
              <w:rPr>
                <w:rFonts w:ascii="Times New Roman" w:hAnsi="Times New Roman"/>
                <w:b/>
                <w:i w:val="0"/>
                <w:sz w:val="20"/>
                <w:u w:val="none"/>
              </w:rPr>
              <w:t>Met?</w:t>
            </w:r>
          </w:p>
        </w:tc>
        <w:tc>
          <w:tcPr>
            <w:tcW w:type="dxa" w:w="3120"/>
          </w:tcPr>
          <w:p>
            <w:pPr>
              <w:spacing w:line="240" w:lineRule="auto"/>
            </w:pPr>
            <w:r/>
            <w:r>
              <w:rPr>
                <w:rFonts w:ascii="Times New Roman" w:hAnsi="Times New Roman"/>
                <w:b/>
                <w:i w:val="0"/>
                <w:sz w:val="20"/>
                <w:u w:val="none"/>
              </w:rPr>
              <w:t>Evidence</w:t>
            </w:r>
          </w:p>
        </w:tc>
      </w:tr>
      <w:tr>
        <w:tc>
          <w:tcPr>
            <w:tcW w:type="dxa" w:w="3120"/>
          </w:tcPr>
          <w:p>
            <w:pPr>
              <w:spacing w:line="240" w:lineRule="auto"/>
            </w:pPr>
            <w:r/>
            <w:r>
              <w:rPr>
                <w:rFonts w:ascii="Times New Roman" w:hAnsi="Times New Roman"/>
                <w:b w:val="0"/>
                <w:i w:val="0"/>
                <w:sz w:val="20"/>
                <w:u w:val="none"/>
              </w:rPr>
              <w:t>Specific facts in verified pleading</w:t>
            </w:r>
          </w:p>
        </w:tc>
        <w:tc>
          <w:tcPr>
            <w:tcW w:type="dxa" w:w="3120"/>
          </w:tcPr>
          <w:p>
            <w:pPr>
              <w:spacing w:line="240" w:lineRule="auto"/>
            </w:pPr>
            <w:r/>
            <w:r>
              <w:rPr>
                <w:rFonts w:ascii="Times New Roman" w:hAnsi="Times New Roman"/>
                <w:b w:val="0"/>
                <w:i w:val="0"/>
                <w:sz w:val="20"/>
                <w:u w:val="none"/>
              </w:rPr>
              <w:t>NO</w:t>
            </w:r>
          </w:p>
        </w:tc>
        <w:tc>
          <w:tcPr>
            <w:tcW w:type="dxa" w:w="3120"/>
          </w:tcPr>
          <w:p>
            <w:pPr>
              <w:spacing w:line="240" w:lineRule="auto"/>
            </w:pPr>
            <w:r/>
            <w:r>
              <w:rPr>
                <w:rFonts w:ascii="Times New Roman" w:hAnsi="Times New Roman"/>
                <w:b w:val="0"/>
                <w:i w:val="0"/>
                <w:sz w:val="20"/>
                <w:u w:val="none"/>
              </w:rPr>
              <w:t>"Based solely on allegations and unsworn evidence"</w:t>
            </w:r>
          </w:p>
        </w:tc>
      </w:tr>
      <w:tr>
        <w:tc>
          <w:tcPr>
            <w:tcW w:type="dxa" w:w="3120"/>
          </w:tcPr>
          <w:p>
            <w:pPr>
              <w:spacing w:line="240" w:lineRule="auto"/>
            </w:pPr>
            <w:r/>
            <w:r>
              <w:rPr>
                <w:rFonts w:ascii="Times New Roman" w:hAnsi="Times New Roman"/>
                <w:b w:val="0"/>
                <w:i w:val="0"/>
                <w:sz w:val="20"/>
                <w:u w:val="none"/>
              </w:rPr>
              <w:t>Showing of irreparable injury</w:t>
            </w:r>
          </w:p>
        </w:tc>
        <w:tc>
          <w:tcPr>
            <w:tcW w:type="dxa" w:w="3120"/>
          </w:tcPr>
          <w:p>
            <w:pPr>
              <w:spacing w:line="240" w:lineRule="auto"/>
            </w:pPr>
            <w:r/>
            <w:r>
              <w:rPr>
                <w:rFonts w:ascii="Times New Roman" w:hAnsi="Times New Roman"/>
                <w:b w:val="0"/>
                <w:i w:val="0"/>
                <w:sz w:val="20"/>
                <w:u w:val="none"/>
              </w:rPr>
              <w:t>NO</w:t>
            </w:r>
          </w:p>
        </w:tc>
        <w:tc>
          <w:tcPr>
            <w:tcW w:type="dxa" w:w="3120"/>
          </w:tcPr>
          <w:p>
            <w:pPr>
              <w:spacing w:line="240" w:lineRule="auto"/>
            </w:pPr>
            <w:r/>
            <w:r>
              <w:rPr>
                <w:rFonts w:ascii="Times New Roman" w:hAnsi="Times New Roman"/>
                <w:b w:val="0"/>
                <w:i w:val="0"/>
                <w:sz w:val="20"/>
                <w:u w:val="none"/>
              </w:rPr>
              <w:t>"Fails to allege that delaying for [hearing] would cause harm"</w:t>
            </w:r>
          </w:p>
        </w:tc>
      </w:tr>
      <w:tr>
        <w:tc>
          <w:tcPr>
            <w:tcW w:type="dxa" w:w="3120"/>
          </w:tcPr>
          <w:p>
            <w:pPr>
              <w:spacing w:line="240" w:lineRule="auto"/>
            </w:pPr>
            <w:r/>
            <w:r>
              <w:rPr>
                <w:rFonts w:ascii="Times New Roman" w:hAnsi="Times New Roman"/>
                <w:b w:val="0"/>
                <w:i w:val="0"/>
                <w:sz w:val="20"/>
                <w:u w:val="none"/>
              </w:rPr>
              <w:t>Notice to opposing party</w:t>
            </w:r>
          </w:p>
        </w:tc>
        <w:tc>
          <w:tcPr>
            <w:tcW w:type="dxa" w:w="3120"/>
          </w:tcPr>
          <w:p>
            <w:pPr>
              <w:spacing w:line="240" w:lineRule="auto"/>
            </w:pPr>
            <w:r/>
            <w:r>
              <w:rPr>
                <w:rFonts w:ascii="Times New Roman" w:hAnsi="Times New Roman"/>
                <w:b w:val="0"/>
                <w:i w:val="0"/>
                <w:sz w:val="20"/>
                <w:u w:val="none"/>
              </w:rPr>
              <w:t>NO</w:t>
            </w:r>
          </w:p>
        </w:tc>
        <w:tc>
          <w:tcPr>
            <w:tcW w:type="dxa" w:w="3120"/>
          </w:tcPr>
          <w:p>
            <w:pPr>
              <w:spacing w:line="240" w:lineRule="auto"/>
            </w:pPr>
            <w:r/>
            <w:r>
              <w:rPr>
                <w:rFonts w:ascii="Times New Roman" w:hAnsi="Times New Roman"/>
                <w:b w:val="0"/>
                <w:i w:val="0"/>
                <w:sz w:val="20"/>
                <w:u w:val="none"/>
              </w:rPr>
              <w:t>"Arrived expecting regular parenting time; only discovered after"</w:t>
            </w:r>
          </w:p>
        </w:tc>
      </w:tr>
      <w:tr>
        <w:tc>
          <w:tcPr>
            <w:tcW w:type="dxa" w:w="3120"/>
          </w:tcPr>
          <w:p>
            <w:pPr>
              <w:spacing w:line="240" w:lineRule="auto"/>
            </w:pPr>
            <w:r/>
            <w:r>
              <w:rPr>
                <w:rFonts w:ascii="Times New Roman" w:hAnsi="Times New Roman"/>
                <w:b w:val="0"/>
                <w:i w:val="0"/>
                <w:sz w:val="20"/>
                <w:u w:val="none"/>
              </w:rPr>
              <w:t>Prompt hearing scheduled</w:t>
            </w:r>
          </w:p>
        </w:tc>
        <w:tc>
          <w:tcPr>
            <w:tcW w:type="dxa" w:w="3120"/>
          </w:tcPr>
          <w:p>
            <w:pPr>
              <w:spacing w:line="240" w:lineRule="auto"/>
            </w:pPr>
            <w:r/>
            <w:r>
              <w:rPr>
                <w:rFonts w:ascii="Times New Roman" w:hAnsi="Times New Roman"/>
                <w:b w:val="0"/>
                <w:i w:val="0"/>
                <w:sz w:val="20"/>
                <w:u w:val="none"/>
              </w:rPr>
              <w:t>NO</w:t>
            </w:r>
          </w:p>
        </w:tc>
        <w:tc>
          <w:tcPr>
            <w:tcW w:type="dxa" w:w="3120"/>
          </w:tcPr>
          <w:p>
            <w:pPr>
              <w:spacing w:line="240" w:lineRule="auto"/>
            </w:pPr>
            <w:r/>
            <w:r>
              <w:rPr>
                <w:rFonts w:ascii="Times New Roman" w:hAnsi="Times New Roman"/>
                <w:b w:val="0"/>
                <w:i w:val="0"/>
                <w:sz w:val="20"/>
                <w:u w:val="none"/>
              </w:rPr>
              <w:t>Evidentiary hearing not until Aug 22 — 14 days later</w:t>
            </w:r>
          </w:p>
        </w:tc>
      </w:tr>
      <w:tr>
        <w:tc>
          <w:tcPr>
            <w:tcW w:type="dxa" w:w="3120"/>
          </w:tcPr>
          <w:p>
            <w:pPr>
              <w:spacing w:line="240" w:lineRule="auto"/>
            </w:pPr>
            <w:r/>
            <w:r>
              <w:rPr>
                <w:rFonts w:ascii="Times New Roman" w:hAnsi="Times New Roman"/>
                <w:b w:val="0"/>
                <w:i w:val="0"/>
                <w:sz w:val="20"/>
                <w:u w:val="none"/>
              </w:rPr>
              <w:t>Time-limited duration</w:t>
            </w:r>
          </w:p>
        </w:tc>
        <w:tc>
          <w:tcPr>
            <w:tcW w:type="dxa" w:w="3120"/>
          </w:tcPr>
          <w:p>
            <w:pPr>
              <w:spacing w:line="240" w:lineRule="auto"/>
            </w:pPr>
            <w:r/>
            <w:r>
              <w:rPr>
                <w:rFonts w:ascii="Times New Roman" w:hAnsi="Times New Roman"/>
                <w:b w:val="0"/>
                <w:i w:val="0"/>
                <w:sz w:val="20"/>
                <w:u w:val="none"/>
              </w:rPr>
              <w:t>NO</w:t>
            </w:r>
          </w:p>
        </w:tc>
        <w:tc>
          <w:tcPr>
            <w:tcW w:type="dxa" w:w="3120"/>
          </w:tcPr>
          <w:p>
            <w:pPr>
              <w:spacing w:line="240" w:lineRule="auto"/>
            </w:pPr>
            <w:r/>
            <w:r>
              <w:rPr>
                <w:rFonts w:ascii="Times New Roman" w:hAnsi="Times New Roman"/>
                <w:b w:val="0"/>
                <w:i w:val="0"/>
                <w:sz w:val="20"/>
                <w:u w:val="none"/>
              </w:rPr>
              <w:t>Suspension continued 567+ days through present</w:t>
            </w:r>
          </w:p>
        </w:tc>
      </w:tr>
    </w:tbl>
    <w:p/>
    <w:p>
      <w:pPr>
        <w:spacing w:after="0" w:before="0" w:line="480" w:lineRule="auto"/>
        <w:ind w:firstLine="720"/>
        <w:jc w:val="left"/>
      </w:pPr>
      <w:r>
        <w:rPr>
          <w:rFonts w:ascii="Times New Roman" w:hAnsi="Times New Roman"/>
          <w:b/>
          <w:i w:val="0"/>
          <w:sz w:val="24"/>
          <w:u w:val="none"/>
        </w:rPr>
        <w:t xml:space="preserve">47. </w:t>
      </w:r>
      <w:r>
        <w:rPr>
          <w:rFonts w:ascii="Times New Roman" w:hAnsi="Times New Roman"/>
          <w:b w:val="0"/>
          <w:i w:val="0"/>
          <w:sz w:val="24"/>
          <w:u w:val="none"/>
        </w:rPr>
        <w:t>The consequences of this single day have been catastrophic: 567+ consecutive days of parent-child separation — the longest documented period of suspended parenting time without a best-interest-factors hearing. A three-year-old child has been separated from his father for over 18 months based on unsworn allegations, ex parte orders without proper findings, by a judge who muted the father at hearings, refused to look at exculpatory evidence, ruled on her own disqualification, and imposed a $250 filing bond.</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IV. SUPPORTING EVIDENCE — EXHIBIT LIST</w:t>
      </w:r>
    </w:p>
    <w:p>
      <w:pPr>
        <w:spacing w:after="0" w:before="0" w:line="480" w:lineRule="auto"/>
        <w:ind w:firstLine="720"/>
        <w:jc w:val="left"/>
      </w:pPr>
      <w:r>
        <w:rPr>
          <w:rFonts w:ascii="Times New Roman" w:hAnsi="Times New Roman"/>
          <w:b/>
          <w:i w:val="0"/>
          <w:sz w:val="24"/>
          <w:u w:val="none"/>
        </w:rPr>
        <w:t xml:space="preserve">48. </w:t>
      </w:r>
      <w:r>
        <w:rPr>
          <w:rFonts w:ascii="Times New Roman" w:hAnsi="Times New Roman"/>
          <w:b w:val="0"/>
          <w:i w:val="0"/>
          <w:sz w:val="24"/>
          <w:u w:val="none"/>
        </w:rPr>
        <w:t>The following exhibits are attached or available to the Commission upon request: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sz w:val="20"/>
                <w:u w:val="none"/>
              </w:rPr>
              <w:t>Exhibit</w:t>
            </w:r>
          </w:p>
        </w:tc>
        <w:tc>
          <w:tcPr>
            <w:tcW w:type="dxa" w:w="3120"/>
          </w:tcPr>
          <w:p>
            <w:pPr>
              <w:spacing w:line="240" w:lineRule="auto"/>
            </w:pPr>
            <w:r/>
            <w:r>
              <w:rPr>
                <w:rFonts w:ascii="Times New Roman" w:hAnsi="Times New Roman"/>
                <w:b/>
                <w:i w:val="0"/>
                <w:sz w:val="20"/>
                <w:u w:val="none"/>
              </w:rPr>
              <w:t>Description</w:t>
            </w:r>
          </w:p>
        </w:tc>
        <w:tc>
          <w:tcPr>
            <w:tcW w:type="dxa" w:w="3120"/>
          </w:tcPr>
          <w:p>
            <w:pPr>
              <w:spacing w:line="240" w:lineRule="auto"/>
            </w:pPr>
            <w:r/>
            <w:r>
              <w:rPr>
                <w:rFonts w:ascii="Times New Roman" w:hAnsi="Times New Roman"/>
                <w:b/>
                <w:i w:val="0"/>
                <w:sz w:val="20"/>
                <w:u w:val="none"/>
              </w:rPr>
              <w:t>Source</w:t>
            </w:r>
          </w:p>
        </w:tc>
      </w:tr>
      <w:tr>
        <w:tc>
          <w:tcPr>
            <w:tcW w:type="dxa" w:w="3120"/>
          </w:tcPr>
          <w:p>
            <w:pPr>
              <w:spacing w:line="240" w:lineRule="auto"/>
            </w:pPr>
            <w:r/>
            <w:r>
              <w:rPr>
                <w:rFonts w:ascii="Times New Roman" w:hAnsi="Times New Roman"/>
                <w:b w:val="0"/>
                <w:i w:val="0"/>
                <w:sz w:val="20"/>
                <w:u w:val="none"/>
              </w:rPr>
              <w:t>A</w:t>
            </w:r>
          </w:p>
        </w:tc>
        <w:tc>
          <w:tcPr>
            <w:tcW w:type="dxa" w:w="3120"/>
          </w:tcPr>
          <w:p>
            <w:pPr>
              <w:spacing w:line="240" w:lineRule="auto"/>
            </w:pPr>
            <w:r/>
            <w:r>
              <w:rPr>
                <w:rFonts w:ascii="Times New Roman" w:hAnsi="Times New Roman"/>
                <w:b w:val="0"/>
                <w:i w:val="0"/>
                <w:sz w:val="20"/>
                <w:u w:val="none"/>
              </w:rPr>
              <w:t>Chronological timeline of 24 ex parte orders</w:t>
            </w:r>
          </w:p>
        </w:tc>
        <w:tc>
          <w:tcPr>
            <w:tcW w:type="dxa" w:w="3120"/>
          </w:tcPr>
          <w:p>
            <w:pPr>
              <w:spacing w:line="240" w:lineRule="auto"/>
            </w:pPr>
            <w:r/>
            <w:r>
              <w:rPr>
                <w:rFonts w:ascii="Times New Roman" w:hAnsi="Times New Roman"/>
                <w:b w:val="0"/>
                <w:i w:val="0"/>
                <w:sz w:val="20"/>
                <w:u w:val="none"/>
              </w:rPr>
              <w:t>Court docket; docket_events table</w:t>
            </w:r>
          </w:p>
        </w:tc>
      </w:tr>
      <w:tr>
        <w:tc>
          <w:tcPr>
            <w:tcW w:type="dxa" w:w="3120"/>
          </w:tcPr>
          <w:p>
            <w:pPr>
              <w:spacing w:line="240" w:lineRule="auto"/>
            </w:pPr>
            <w:r/>
            <w:r>
              <w:rPr>
                <w:rFonts w:ascii="Times New Roman" w:hAnsi="Times New Roman"/>
                <w:b w:val="0"/>
                <w:i w:val="0"/>
                <w:sz w:val="20"/>
                <w:u w:val="none"/>
              </w:rPr>
              <w:t>B</w:t>
            </w:r>
          </w:p>
        </w:tc>
        <w:tc>
          <w:tcPr>
            <w:tcW w:type="dxa" w:w="3120"/>
          </w:tcPr>
          <w:p>
            <w:pPr>
              <w:spacing w:line="240" w:lineRule="auto"/>
            </w:pPr>
            <w:r/>
            <w:r>
              <w:rPr>
                <w:rFonts w:ascii="Times New Roman" w:hAnsi="Times New Roman"/>
                <w:b w:val="0"/>
                <w:i w:val="0"/>
                <w:sz w:val="20"/>
                <w:u w:val="none"/>
              </w:rPr>
              <w:t>August 8, 2025 filings — all 5 ex parte orders</w:t>
            </w:r>
          </w:p>
        </w:tc>
        <w:tc>
          <w:tcPr>
            <w:tcW w:type="dxa" w:w="3120"/>
          </w:tcPr>
          <w:p>
            <w:pPr>
              <w:spacing w:line="240" w:lineRule="auto"/>
            </w:pPr>
            <w:r/>
            <w:r>
              <w:rPr>
                <w:rFonts w:ascii="Times New Roman" w:hAnsi="Times New Roman"/>
                <w:b w:val="0"/>
                <w:i w:val="0"/>
                <w:sz w:val="20"/>
                <w:u w:val="none"/>
              </w:rPr>
              <w:t>14th Circuit Court file</w:t>
            </w:r>
          </w:p>
        </w:tc>
      </w:tr>
      <w:tr>
        <w:tc>
          <w:tcPr>
            <w:tcW w:type="dxa" w:w="3120"/>
          </w:tcPr>
          <w:p>
            <w:pPr>
              <w:spacing w:line="240" w:lineRule="auto"/>
            </w:pPr>
            <w:r/>
            <w:r>
              <w:rPr>
                <w:rFonts w:ascii="Times New Roman" w:hAnsi="Times New Roman"/>
                <w:b w:val="0"/>
                <w:i w:val="0"/>
                <w:sz w:val="20"/>
                <w:u w:val="none"/>
              </w:rPr>
              <w:t>C</w:t>
            </w:r>
          </w:p>
        </w:tc>
        <w:tc>
          <w:tcPr>
            <w:tcW w:type="dxa" w:w="3120"/>
          </w:tcPr>
          <w:p>
            <w:pPr>
              <w:spacing w:line="240" w:lineRule="auto"/>
            </w:pPr>
            <w:r/>
            <w:r>
              <w:rPr>
                <w:rFonts w:ascii="Times New Roman" w:hAnsi="Times New Roman"/>
                <w:b w:val="0"/>
                <w:i w:val="0"/>
                <w:sz w:val="20"/>
                <w:u w:val="none"/>
              </w:rPr>
              <w:t>Transcript excerpts — muting/silencing (13 instances)</w:t>
            </w:r>
          </w:p>
        </w:tc>
        <w:tc>
          <w:tcPr>
            <w:tcW w:type="dxa" w:w="3120"/>
          </w:tcPr>
          <w:p>
            <w:pPr>
              <w:spacing w:line="240" w:lineRule="auto"/>
            </w:pPr>
            <w:r/>
            <w:r>
              <w:rPr>
                <w:rFonts w:ascii="Times New Roman" w:hAnsi="Times New Roman"/>
                <w:b w:val="0"/>
                <w:i w:val="0"/>
                <w:sz w:val="20"/>
                <w:u w:val="none"/>
              </w:rPr>
              <w:t>Hearing recordings; evidence_quotes table</w:t>
            </w:r>
          </w:p>
        </w:tc>
      </w:tr>
      <w:tr>
        <w:tc>
          <w:tcPr>
            <w:tcW w:type="dxa" w:w="3120"/>
          </w:tcPr>
          <w:p>
            <w:pPr>
              <w:spacing w:line="240" w:lineRule="auto"/>
            </w:pPr>
            <w:r/>
            <w:r>
              <w:rPr>
                <w:rFonts w:ascii="Times New Roman" w:hAnsi="Times New Roman"/>
                <w:b w:val="0"/>
                <w:i w:val="0"/>
                <w:sz w:val="20"/>
                <w:u w:val="none"/>
              </w:rPr>
              <w:t>D</w:t>
            </w:r>
          </w:p>
        </w:tc>
        <w:tc>
          <w:tcPr>
            <w:tcW w:type="dxa" w:w="3120"/>
          </w:tcPr>
          <w:p>
            <w:pPr>
              <w:spacing w:line="240" w:lineRule="auto"/>
            </w:pPr>
            <w:r/>
            <w:r>
              <w:rPr>
                <w:rFonts w:ascii="Times New Roman" w:hAnsi="Times New Roman"/>
                <w:b w:val="0"/>
                <w:i w:val="0"/>
                <w:sz w:val="20"/>
                <w:u w:val="none"/>
              </w:rPr>
              <w:t>Disqualification motion (March 4, 2025) and self-ruling order</w:t>
            </w:r>
          </w:p>
        </w:tc>
        <w:tc>
          <w:tcPr>
            <w:tcW w:type="dxa" w:w="3120"/>
          </w:tcPr>
          <w:p>
            <w:pPr>
              <w:spacing w:line="240" w:lineRule="auto"/>
            </w:pPr>
            <w:r/>
            <w:r>
              <w:rPr>
                <w:rFonts w:ascii="Times New Roman" w:hAnsi="Times New Roman"/>
                <w:b w:val="0"/>
                <w:i w:val="0"/>
                <w:sz w:val="20"/>
                <w:u w:val="none"/>
              </w:rPr>
              <w:t>Court file</w:t>
            </w:r>
          </w:p>
        </w:tc>
      </w:tr>
      <w:tr>
        <w:tc>
          <w:tcPr>
            <w:tcW w:type="dxa" w:w="3120"/>
          </w:tcPr>
          <w:p>
            <w:pPr>
              <w:spacing w:line="240" w:lineRule="auto"/>
            </w:pPr>
            <w:r/>
            <w:r>
              <w:rPr>
                <w:rFonts w:ascii="Times New Roman" w:hAnsi="Times New Roman"/>
                <w:b w:val="0"/>
                <w:i w:val="0"/>
                <w:sz w:val="20"/>
                <w:u w:val="none"/>
              </w:rPr>
              <w:t>E</w:t>
            </w:r>
          </w:p>
        </w:tc>
        <w:tc>
          <w:tcPr>
            <w:tcW w:type="dxa" w:w="3120"/>
          </w:tcPr>
          <w:p>
            <w:pPr>
              <w:spacing w:line="240" w:lineRule="auto"/>
            </w:pPr>
            <w:r/>
            <w:r>
              <w:rPr>
                <w:rFonts w:ascii="Times New Roman" w:hAnsi="Times New Roman"/>
                <w:b w:val="0"/>
                <w:i w:val="0"/>
                <w:sz w:val="20"/>
                <w:u w:val="none"/>
              </w:rPr>
              <w:t>$250 bond order</w:t>
            </w:r>
          </w:p>
        </w:tc>
        <w:tc>
          <w:tcPr>
            <w:tcW w:type="dxa" w:w="3120"/>
          </w:tcPr>
          <w:p>
            <w:pPr>
              <w:spacing w:line="240" w:lineRule="auto"/>
            </w:pPr>
            <w:r/>
            <w:r>
              <w:rPr>
                <w:rFonts w:ascii="Times New Roman" w:hAnsi="Times New Roman"/>
                <w:b w:val="0"/>
                <w:i w:val="0"/>
                <w:sz w:val="20"/>
                <w:u w:val="none"/>
              </w:rPr>
              <w:t>Court file</w:t>
            </w:r>
          </w:p>
        </w:tc>
      </w:tr>
      <w:tr>
        <w:tc>
          <w:tcPr>
            <w:tcW w:type="dxa" w:w="3120"/>
          </w:tcPr>
          <w:p>
            <w:pPr>
              <w:spacing w:line="240" w:lineRule="auto"/>
            </w:pPr>
            <w:r/>
            <w:r>
              <w:rPr>
                <w:rFonts w:ascii="Times New Roman" w:hAnsi="Times New Roman"/>
                <w:b w:val="0"/>
                <w:i w:val="0"/>
                <w:sz w:val="20"/>
                <w:u w:val="none"/>
              </w:rPr>
              <w:t>F</w:t>
            </w:r>
          </w:p>
        </w:tc>
        <w:tc>
          <w:tcPr>
            <w:tcW w:type="dxa" w:w="3120"/>
          </w:tcPr>
          <w:p>
            <w:pPr>
              <w:spacing w:line="240" w:lineRule="auto"/>
            </w:pPr>
            <w:r/>
            <w:r>
              <w:rPr>
                <w:rFonts w:ascii="Times New Roman" w:hAnsi="Times New Roman"/>
                <w:b w:val="0"/>
                <w:i w:val="0"/>
                <w:sz w:val="20"/>
                <w:u w:val="none"/>
              </w:rPr>
              <w:t>Benchbook violation summary (504 items)</w:t>
            </w:r>
          </w:p>
        </w:tc>
        <w:tc>
          <w:tcPr>
            <w:tcW w:type="dxa" w:w="3120"/>
          </w:tcPr>
          <w:p>
            <w:pPr>
              <w:spacing w:line="240" w:lineRule="auto"/>
            </w:pPr>
            <w:r/>
            <w:r>
              <w:rPr>
                <w:rFonts w:ascii="Times New Roman" w:hAnsi="Times New Roman"/>
                <w:b w:val="0"/>
                <w:i w:val="0"/>
                <w:sz w:val="20"/>
                <w:u w:val="none"/>
              </w:rPr>
              <w:t>auth_benchbook_violations table</w:t>
            </w:r>
          </w:p>
        </w:tc>
      </w:tr>
      <w:tr>
        <w:tc>
          <w:tcPr>
            <w:tcW w:type="dxa" w:w="3120"/>
          </w:tcPr>
          <w:p>
            <w:pPr>
              <w:spacing w:line="240" w:lineRule="auto"/>
            </w:pPr>
            <w:r/>
            <w:r>
              <w:rPr>
                <w:rFonts w:ascii="Times New Roman" w:hAnsi="Times New Roman"/>
                <w:b w:val="0"/>
                <w:i w:val="0"/>
                <w:sz w:val="20"/>
                <w:u w:val="none"/>
              </w:rPr>
              <w:t>G</w:t>
            </w:r>
          </w:p>
        </w:tc>
        <w:tc>
          <w:tcPr>
            <w:tcW w:type="dxa" w:w="3120"/>
          </w:tcPr>
          <w:p>
            <w:pPr>
              <w:spacing w:line="240" w:lineRule="auto"/>
            </w:pPr>
            <w:r/>
            <w:r>
              <w:rPr>
                <w:rFonts w:ascii="Times New Roman" w:hAnsi="Times New Roman"/>
                <w:b w:val="0"/>
                <w:i w:val="0"/>
                <w:sz w:val="20"/>
                <w:u w:val="none"/>
              </w:rPr>
              <w:t>PPO-Custody cross-reference analysis (13,016 entries)</w:t>
            </w:r>
          </w:p>
        </w:tc>
        <w:tc>
          <w:tcPr>
            <w:tcW w:type="dxa" w:w="3120"/>
          </w:tcPr>
          <w:p>
            <w:pPr>
              <w:spacing w:line="240" w:lineRule="auto"/>
            </w:pPr>
            <w:r/>
            <w:r>
              <w:rPr>
                <w:rFonts w:ascii="Times New Roman" w:hAnsi="Times New Roman"/>
                <w:b w:val="0"/>
                <w:i w:val="0"/>
                <w:sz w:val="20"/>
                <w:u w:val="none"/>
              </w:rPr>
              <w:t>ppo_custody_cross_reference table</w:t>
            </w:r>
          </w:p>
        </w:tc>
      </w:tr>
      <w:tr>
        <w:tc>
          <w:tcPr>
            <w:tcW w:type="dxa" w:w="3120"/>
          </w:tcPr>
          <w:p>
            <w:pPr>
              <w:spacing w:line="240" w:lineRule="auto"/>
            </w:pPr>
            <w:r/>
            <w:r>
              <w:rPr>
                <w:rFonts w:ascii="Times New Roman" w:hAnsi="Times New Roman"/>
                <w:b w:val="0"/>
                <w:i w:val="0"/>
                <w:sz w:val="20"/>
                <w:u w:val="none"/>
              </w:rPr>
              <w:t>H</w:t>
            </w:r>
          </w:p>
        </w:tc>
        <w:tc>
          <w:tcPr>
            <w:tcW w:type="dxa" w:w="3120"/>
          </w:tcPr>
          <w:p>
            <w:pPr>
              <w:spacing w:line="240" w:lineRule="auto"/>
            </w:pPr>
            <w:r/>
            <w:r>
              <w:rPr>
                <w:rFonts w:ascii="Times New Roman" w:hAnsi="Times New Roman"/>
                <w:b w:val="0"/>
                <w:i w:val="0"/>
                <w:sz w:val="20"/>
                <w:u w:val="none"/>
              </w:rPr>
              <w:t>HealthWest evaluation — ex parte communication evidence</w:t>
            </w:r>
          </w:p>
        </w:tc>
        <w:tc>
          <w:tcPr>
            <w:tcW w:type="dxa" w:w="3120"/>
          </w:tcPr>
          <w:p>
            <w:pPr>
              <w:spacing w:line="240" w:lineRule="auto"/>
            </w:pPr>
            <w:r/>
            <w:r>
              <w:rPr>
                <w:rFonts w:ascii="Times New Roman" w:hAnsi="Times New Roman"/>
                <w:b w:val="0"/>
                <w:i w:val="0"/>
                <w:sz w:val="20"/>
                <w:u w:val="none"/>
              </w:rPr>
              <w:t>Court file; email records</w:t>
            </w:r>
          </w:p>
        </w:tc>
      </w:tr>
      <w:tr>
        <w:tc>
          <w:tcPr>
            <w:tcW w:type="dxa" w:w="3120"/>
          </w:tcPr>
          <w:p>
            <w:pPr>
              <w:spacing w:line="240" w:lineRule="auto"/>
            </w:pPr>
            <w:r/>
            <w:r>
              <w:rPr>
                <w:rFonts w:ascii="Times New Roman" w:hAnsi="Times New Roman"/>
                <w:b w:val="0"/>
                <w:i w:val="0"/>
                <w:sz w:val="20"/>
                <w:u w:val="none"/>
              </w:rPr>
              <w:t>I</w:t>
            </w:r>
          </w:p>
        </w:tc>
        <w:tc>
          <w:tcPr>
            <w:tcW w:type="dxa" w:w="3120"/>
          </w:tcPr>
          <w:p>
            <w:pPr>
              <w:spacing w:line="240" w:lineRule="auto"/>
            </w:pPr>
            <w:r/>
            <w:r>
              <w:rPr>
                <w:rFonts w:ascii="Times New Roman" w:hAnsi="Times New Roman"/>
                <w:b w:val="0"/>
                <w:i w:val="0"/>
                <w:sz w:val="20"/>
                <w:u w:val="none"/>
              </w:rPr>
              <w:t>Ron Berry voicemail / coordination evidence</w:t>
            </w:r>
          </w:p>
        </w:tc>
        <w:tc>
          <w:tcPr>
            <w:tcW w:type="dxa" w:w="3120"/>
          </w:tcPr>
          <w:p>
            <w:pPr>
              <w:spacing w:line="240" w:lineRule="auto"/>
            </w:pPr>
            <w:r/>
            <w:r>
              <w:rPr>
                <w:rFonts w:ascii="Times New Roman" w:hAnsi="Times New Roman"/>
                <w:b w:val="0"/>
                <w:i w:val="0"/>
                <w:sz w:val="20"/>
                <w:u w:val="none"/>
              </w:rPr>
              <w:t>Filed objections</w:t>
            </w:r>
          </w:p>
        </w:tc>
      </w:tr>
      <w:tr>
        <w:tc>
          <w:tcPr>
            <w:tcW w:type="dxa" w:w="3120"/>
          </w:tcPr>
          <w:p>
            <w:pPr>
              <w:spacing w:line="240" w:lineRule="auto"/>
            </w:pPr>
            <w:r/>
            <w:r>
              <w:rPr>
                <w:rFonts w:ascii="Times New Roman" w:hAnsi="Times New Roman"/>
                <w:b w:val="0"/>
                <w:i w:val="0"/>
                <w:sz w:val="20"/>
                <w:u w:val="none"/>
              </w:rPr>
              <w:t>J</w:t>
            </w:r>
          </w:p>
        </w:tc>
        <w:tc>
          <w:tcPr>
            <w:tcW w:type="dxa" w:w="3120"/>
          </w:tcPr>
          <w:p>
            <w:pPr>
              <w:spacing w:line="240" w:lineRule="auto"/>
            </w:pPr>
            <w:r/>
            <w:r>
              <w:rPr>
                <w:rFonts w:ascii="Times New Roman" w:hAnsi="Times New Roman"/>
                <w:b w:val="0"/>
                <w:i w:val="0"/>
                <w:sz w:val="20"/>
                <w:u w:val="none"/>
              </w:rPr>
              <w:t>Contempt orders and incarceration records</w:t>
            </w:r>
          </w:p>
        </w:tc>
        <w:tc>
          <w:tcPr>
            <w:tcW w:type="dxa" w:w="3120"/>
          </w:tcPr>
          <w:p>
            <w:pPr>
              <w:spacing w:line="240" w:lineRule="auto"/>
            </w:pPr>
            <w:r/>
            <w:r>
              <w:rPr>
                <w:rFonts w:ascii="Times New Roman" w:hAnsi="Times New Roman"/>
                <w:b w:val="0"/>
                <w:i w:val="0"/>
                <w:sz w:val="20"/>
                <w:u w:val="none"/>
              </w:rPr>
              <w:t>Court file</w:t>
            </w:r>
          </w:p>
        </w:tc>
      </w:tr>
      <w:tr>
        <w:tc>
          <w:tcPr>
            <w:tcW w:type="dxa" w:w="3120"/>
          </w:tcPr>
          <w:p>
            <w:pPr>
              <w:spacing w:line="240" w:lineRule="auto"/>
            </w:pPr>
            <w:r/>
            <w:r>
              <w:rPr>
                <w:rFonts w:ascii="Times New Roman" w:hAnsi="Times New Roman"/>
                <w:b w:val="0"/>
                <w:i w:val="0"/>
                <w:sz w:val="20"/>
                <w:u w:val="none"/>
              </w:rPr>
              <w:t>K</w:t>
            </w:r>
          </w:p>
        </w:tc>
        <w:tc>
          <w:tcPr>
            <w:tcW w:type="dxa" w:w="3120"/>
          </w:tcPr>
          <w:p>
            <w:pPr>
              <w:spacing w:line="240" w:lineRule="auto"/>
            </w:pPr>
            <w:r/>
            <w:r>
              <w:rPr>
                <w:rFonts w:ascii="Times New Roman" w:hAnsi="Times New Roman"/>
                <w:b w:val="0"/>
                <w:i w:val="0"/>
                <w:sz w:val="20"/>
                <w:u w:val="none"/>
              </w:rPr>
              <w:t>Judicial violations summary (1,127 entries)</w:t>
            </w:r>
          </w:p>
        </w:tc>
        <w:tc>
          <w:tcPr>
            <w:tcW w:type="dxa" w:w="3120"/>
          </w:tcPr>
          <w:p>
            <w:pPr>
              <w:spacing w:line="240" w:lineRule="auto"/>
            </w:pPr>
            <w:r/>
            <w:r>
              <w:rPr>
                <w:rFonts w:ascii="Times New Roman" w:hAnsi="Times New Roman"/>
                <w:b w:val="0"/>
                <w:i w:val="0"/>
                <w:sz w:val="20"/>
                <w:u w:val="none"/>
              </w:rPr>
              <w:t>judicial_violations table</w:t>
            </w:r>
          </w:p>
        </w:tc>
      </w:tr>
      <w:tr>
        <w:tc>
          <w:tcPr>
            <w:tcW w:type="dxa" w:w="3120"/>
          </w:tcPr>
          <w:p>
            <w:pPr>
              <w:spacing w:line="240" w:lineRule="auto"/>
            </w:pPr>
            <w:r/>
            <w:r>
              <w:rPr>
                <w:rFonts w:ascii="Times New Roman" w:hAnsi="Times New Roman"/>
                <w:b w:val="0"/>
                <w:i w:val="0"/>
                <w:sz w:val="20"/>
                <w:u w:val="none"/>
              </w:rPr>
              <w:t>L</w:t>
            </w:r>
          </w:p>
        </w:tc>
        <w:tc>
          <w:tcPr>
            <w:tcW w:type="dxa" w:w="3120"/>
          </w:tcPr>
          <w:p>
            <w:pPr>
              <w:spacing w:line="240" w:lineRule="auto"/>
            </w:pPr>
            <w:r/>
            <w:r>
              <w:rPr>
                <w:rFonts w:ascii="Times New Roman" w:hAnsi="Times New Roman"/>
                <w:b w:val="0"/>
                <w:i w:val="0"/>
                <w:sz w:val="20"/>
                <w:u w:val="none"/>
              </w:rPr>
              <w:t>Impeachment items summary (15,171 entries)</w:t>
            </w:r>
          </w:p>
        </w:tc>
        <w:tc>
          <w:tcPr>
            <w:tcW w:type="dxa" w:w="3120"/>
          </w:tcPr>
          <w:p>
            <w:pPr>
              <w:spacing w:line="240" w:lineRule="auto"/>
            </w:pPr>
            <w:r/>
            <w:r>
              <w:rPr>
                <w:rFonts w:ascii="Times New Roman" w:hAnsi="Times New Roman"/>
                <w:b w:val="0"/>
                <w:i w:val="0"/>
                <w:sz w:val="20"/>
                <w:u w:val="none"/>
              </w:rPr>
              <w:t>impeachment_items table</w:t>
            </w:r>
          </w:p>
        </w:tc>
      </w:tr>
      <w:tr>
        <w:tc>
          <w:tcPr>
            <w:tcW w:type="dxa" w:w="3120"/>
          </w:tcPr>
          <w:p>
            <w:pPr>
              <w:spacing w:line="240" w:lineRule="auto"/>
            </w:pPr>
            <w:r/>
            <w:r>
              <w:rPr>
                <w:rFonts w:ascii="Times New Roman" w:hAnsi="Times New Roman"/>
                <w:b w:val="0"/>
                <w:i w:val="0"/>
                <w:sz w:val="20"/>
                <w:u w:val="none"/>
              </w:rPr>
              <w:t>M</w:t>
            </w:r>
          </w:p>
        </w:tc>
        <w:tc>
          <w:tcPr>
            <w:tcW w:type="dxa" w:w="3120"/>
          </w:tcPr>
          <w:p>
            <w:pPr>
              <w:spacing w:line="240" w:lineRule="auto"/>
            </w:pPr>
            <w:r/>
            <w:r>
              <w:rPr>
                <w:rFonts w:ascii="Times New Roman" w:hAnsi="Times New Roman"/>
                <w:b w:val="0"/>
                <w:i w:val="0"/>
                <w:sz w:val="20"/>
                <w:u w:val="none"/>
              </w:rPr>
              <w:t>Exonerating police report (November 15, 2024)</w:t>
            </w:r>
          </w:p>
        </w:tc>
        <w:tc>
          <w:tcPr>
            <w:tcW w:type="dxa" w:w="3120"/>
          </w:tcPr>
          <w:p>
            <w:pPr>
              <w:spacing w:line="240" w:lineRule="auto"/>
            </w:pPr>
            <w:r/>
            <w:r>
              <w:rPr>
                <w:rFonts w:ascii="Times New Roman" w:hAnsi="Times New Roman"/>
                <w:b w:val="0"/>
                <w:i w:val="0"/>
                <w:sz w:val="20"/>
                <w:u w:val="none"/>
              </w:rPr>
              <w:t>Court file (refused by Respondent)</w:t>
            </w:r>
          </w:p>
        </w:tc>
      </w:tr>
    </w:tbl>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 RELIEF REQUESTED</w:t>
      </w:r>
    </w:p>
    <w:p>
      <w:pPr>
        <w:spacing w:after="0" w:before="0" w:line="480" w:lineRule="auto"/>
        <w:ind w:firstLine="720"/>
        <w:jc w:val="left"/>
      </w:pPr>
      <w:r>
        <w:rPr>
          <w:rFonts w:ascii="Times New Roman" w:hAnsi="Times New Roman"/>
          <w:b/>
          <w:i w:val="0"/>
          <w:sz w:val="24"/>
          <w:u w:val="none"/>
        </w:rPr>
        <w:t xml:space="preserve">49. </w:t>
      </w:r>
      <w:r>
        <w:rPr>
          <w:rFonts w:ascii="Times New Roman" w:hAnsi="Times New Roman"/>
          <w:b w:val="0"/>
          <w:i w:val="0"/>
          <w:sz w:val="24"/>
          <w:u w:val="none"/>
        </w:rPr>
        <w:t>Complainant respectfully requests that the Judicial Tenure Commission:</w:t>
      </w:r>
    </w:p>
    <w:p>
      <w:pPr>
        <w:spacing w:after="0" w:before="0" w:line="480" w:lineRule="auto"/>
        <w:ind w:firstLine="720"/>
        <w:jc w:val="left"/>
      </w:pPr>
      <w:r>
        <w:rPr>
          <w:rFonts w:ascii="Times New Roman" w:hAnsi="Times New Roman"/>
          <w:b w:val="0"/>
          <w:i w:val="0"/>
          <w:sz w:val="24"/>
          <w:u w:val="none"/>
        </w:rPr>
        <w:t xml:space="preserve">(a) </w:t>
      </w:r>
      <w:r>
        <w:rPr>
          <w:rFonts w:ascii="Times New Roman" w:hAnsi="Times New Roman"/>
          <w:b/>
          <w:i w:val="0"/>
          <w:sz w:val="24"/>
          <w:u w:val="none"/>
        </w:rPr>
        <w:t>Investigate</w:t>
      </w:r>
      <w:r>
        <w:rPr>
          <w:rFonts w:ascii="Times New Roman" w:hAnsi="Times New Roman"/>
          <w:b w:val="0"/>
          <w:i w:val="0"/>
          <w:sz w:val="24"/>
          <w:u w:val="none"/>
        </w:rPr>
        <w:t xml:space="preserve"> the conduct of Respondent Judge Jenny L. McNeill pursuant to MCR 9.220, finding that this Complaint is not "clearly unfounded or frivolous" and initiating a full preliminary investigation;</w:t>
      </w:r>
    </w:p>
    <w:p>
      <w:pPr>
        <w:spacing w:after="0" w:before="0" w:line="480" w:lineRule="auto"/>
        <w:ind w:firstLine="720"/>
        <w:jc w:val="left"/>
      </w:pPr>
      <w:r>
        <w:rPr>
          <w:rFonts w:ascii="Times New Roman" w:hAnsi="Times New Roman"/>
          <w:b w:val="0"/>
          <w:i w:val="0"/>
          <w:sz w:val="24"/>
          <w:u w:val="none"/>
        </w:rPr>
        <w:t xml:space="preserve">(b) </w:t>
      </w:r>
      <w:r>
        <w:rPr>
          <w:rFonts w:ascii="Times New Roman" w:hAnsi="Times New Roman"/>
          <w:b/>
          <w:i w:val="0"/>
          <w:sz w:val="24"/>
          <w:u w:val="none"/>
        </w:rPr>
        <w:t>Issue a formal complaint</w:t>
      </w:r>
      <w:r>
        <w:rPr>
          <w:rFonts w:ascii="Times New Roman" w:hAnsi="Times New Roman"/>
          <w:b w:val="0"/>
          <w:i w:val="0"/>
          <w:sz w:val="24"/>
          <w:u w:val="none"/>
        </w:rPr>
        <w:t xml:space="preserve"> under MCR 9.224 upon sufficient evidence of misconduct;</w:t>
      </w:r>
    </w:p>
    <w:p>
      <w:pPr>
        <w:spacing w:after="0" w:before="0" w:line="480" w:lineRule="auto"/>
        <w:ind w:firstLine="720"/>
        <w:jc w:val="left"/>
      </w:pPr>
      <w:r>
        <w:rPr>
          <w:rFonts w:ascii="Times New Roman" w:hAnsi="Times New Roman"/>
          <w:b w:val="0"/>
          <w:i w:val="0"/>
          <w:sz w:val="24"/>
          <w:u w:val="none"/>
        </w:rPr>
        <w:t xml:space="preserve">(c) </w:t>
      </w:r>
      <w:r>
        <w:rPr>
          <w:rFonts w:ascii="Times New Roman" w:hAnsi="Times New Roman"/>
          <w:b/>
          <w:i w:val="0"/>
          <w:sz w:val="24"/>
          <w:u w:val="none"/>
        </w:rPr>
        <w:t>Petition the Michigan Supreme Court for interim suspension</w:t>
      </w:r>
      <w:r>
        <w:rPr>
          <w:rFonts w:ascii="Times New Roman" w:hAnsi="Times New Roman"/>
          <w:b w:val="0"/>
          <w:i w:val="0"/>
          <w:sz w:val="24"/>
          <w:u w:val="none"/>
        </w:rPr>
        <w:t xml:space="preserve"> under MCR 9.225, given that Respondent's continued service causes ongoing, irreparable harm — specifically, the continuation of the 567+ day parent-child separation;</w:t>
      </w:r>
    </w:p>
    <w:p>
      <w:pPr>
        <w:spacing w:after="0" w:before="0" w:line="480" w:lineRule="auto"/>
        <w:ind w:firstLine="720"/>
        <w:jc w:val="left"/>
      </w:pPr>
      <w:r>
        <w:rPr>
          <w:rFonts w:ascii="Times New Roman" w:hAnsi="Times New Roman"/>
          <w:b w:val="0"/>
          <w:i w:val="0"/>
          <w:sz w:val="24"/>
          <w:u w:val="none"/>
        </w:rPr>
        <w:t xml:space="preserve">(d) </w:t>
      </w:r>
      <w:r>
        <w:rPr>
          <w:rFonts w:ascii="Times New Roman" w:hAnsi="Times New Roman"/>
          <w:b/>
          <w:i w:val="0"/>
          <w:sz w:val="24"/>
          <w:u w:val="none"/>
        </w:rPr>
        <w:t>Conduct a public hearing</w:t>
      </w:r>
      <w:r>
        <w:rPr>
          <w:rFonts w:ascii="Times New Roman" w:hAnsi="Times New Roman"/>
          <w:b w:val="0"/>
          <w:i w:val="0"/>
          <w:sz w:val="24"/>
          <w:u w:val="none"/>
        </w:rPr>
        <w:t xml:space="preserve"> under MCR 9.231, with a hearing master appointed by the Michigan Supreme Court;</w:t>
      </w:r>
    </w:p>
    <w:p>
      <w:pPr>
        <w:spacing w:after="0" w:before="0" w:line="480" w:lineRule="auto"/>
        <w:ind w:firstLine="720"/>
        <w:jc w:val="left"/>
      </w:pPr>
      <w:r>
        <w:rPr>
          <w:rFonts w:ascii="Times New Roman" w:hAnsi="Times New Roman"/>
          <w:b w:val="0"/>
          <w:i w:val="0"/>
          <w:sz w:val="24"/>
          <w:u w:val="none"/>
        </w:rPr>
        <w:t xml:space="preserve">(e) </w:t>
      </w:r>
      <w:r>
        <w:rPr>
          <w:rFonts w:ascii="Times New Roman" w:hAnsi="Times New Roman"/>
          <w:b/>
          <w:i w:val="0"/>
          <w:sz w:val="24"/>
          <w:u w:val="none"/>
        </w:rPr>
        <w:t>Recommend appropriate discipline</w:t>
      </w:r>
      <w:r>
        <w:rPr>
          <w:rFonts w:ascii="Times New Roman" w:hAnsi="Times New Roman"/>
          <w:b w:val="0"/>
          <w:i w:val="0"/>
          <w:sz w:val="24"/>
          <w:u w:val="none"/>
        </w:rPr>
        <w:t xml:space="preserve"> under MCR 9.202(B), which may include censure, suspension, or removal from office;</w:t>
      </w:r>
    </w:p>
    <w:p>
      <w:pPr>
        <w:spacing w:after="0" w:before="0" w:line="480" w:lineRule="auto"/>
        <w:ind w:firstLine="720"/>
        <w:jc w:val="left"/>
      </w:pPr>
      <w:r>
        <w:rPr>
          <w:rFonts w:ascii="Times New Roman" w:hAnsi="Times New Roman"/>
          <w:b w:val="0"/>
          <w:i w:val="0"/>
          <w:sz w:val="24"/>
          <w:u w:val="none"/>
        </w:rPr>
        <w:t xml:space="preserve">(f) </w:t>
      </w:r>
      <w:r>
        <w:rPr>
          <w:rFonts w:ascii="Times New Roman" w:hAnsi="Times New Roman"/>
          <w:b/>
          <w:i w:val="0"/>
          <w:sz w:val="24"/>
          <w:u w:val="none"/>
        </w:rPr>
        <w:t>Recommend reassignment</w:t>
      </w:r>
      <w:r>
        <w:rPr>
          <w:rFonts w:ascii="Times New Roman" w:hAnsi="Times New Roman"/>
          <w:b w:val="0"/>
          <w:i w:val="0"/>
          <w:sz w:val="24"/>
          <w:u w:val="none"/>
        </w:rPr>
        <w:t xml:space="preserve"> of Case Nos. 2024-001507-DC and 2023-5907-PP to a different judge; and</w:t>
      </w:r>
    </w:p>
    <w:p>
      <w:pPr>
        <w:spacing w:after="0" w:before="0" w:line="480" w:lineRule="auto"/>
        <w:ind w:firstLine="720"/>
        <w:jc w:val="left"/>
      </w:pPr>
      <w:r>
        <w:rPr>
          <w:rFonts w:ascii="Times New Roman" w:hAnsi="Times New Roman"/>
          <w:b w:val="0"/>
          <w:i w:val="0"/>
          <w:sz w:val="24"/>
          <w:u w:val="none"/>
        </w:rPr>
        <w:t xml:space="preserve">(g) </w:t>
      </w:r>
      <w:r>
        <w:rPr>
          <w:rFonts w:ascii="Times New Roman" w:hAnsi="Times New Roman"/>
          <w:b/>
          <w:i w:val="0"/>
          <w:sz w:val="24"/>
          <w:u w:val="none"/>
        </w:rPr>
        <w:t>Forward this Complaint and its supporting evidence</w:t>
      </w:r>
      <w:r>
        <w:rPr>
          <w:rFonts w:ascii="Times New Roman" w:hAnsi="Times New Roman"/>
          <w:b w:val="0"/>
          <w:i w:val="0"/>
          <w:sz w:val="24"/>
          <w:u w:val="none"/>
        </w:rPr>
        <w:t xml:space="preserve"> to the Michigan Supreme Court, the State Court Administrative Office, and any other body with supervisory authority over Respondent.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VERIFICATION</w:t>
      </w:r>
    </w:p>
    <w:p>
      <w:pPr>
        <w:spacing w:after="0" w:before="0" w:line="480" w:lineRule="auto"/>
        <w:ind w:firstLine="720"/>
        <w:jc w:val="left"/>
      </w:pPr>
      <w:r>
        <w:rPr>
          <w:rFonts w:ascii="Times New Roman" w:hAnsi="Times New Roman"/>
          <w:b w:val="0"/>
          <w:i w:val="0"/>
          <w:sz w:val="24"/>
          <w:u w:val="none"/>
        </w:rPr>
        <w:t>I, Andrew Pigors, being duly sworn, state that the facts set forth in this Complaint are true and correct to the best of my knowledge, information, and belief. I understand that filing a false complaint may subject me to penalties under Michigan law.</w:t>
      </w:r>
    </w:p>
    <w:p>
      <w:pPr>
        <w:spacing w:after="0" w:before="0" w:line="480" w:lineRule="auto"/>
        <w:ind w:firstLine="720"/>
        <w:jc w:val="left"/>
      </w:pPr>
      <w:r>
        <w:rPr>
          <w:rFonts w:ascii="Times New Roman" w:hAnsi="Times New Roman"/>
          <w:b w:val="0"/>
          <w:i w:val="0"/>
          <w:sz w:val="24"/>
          <w:u w:val="single"/>
        </w:rPr>
        <w:t>_________________________</w:t>
      </w:r>
    </w:p>
    <w:p>
      <w:pPr>
        <w:spacing w:after="0" w:before="0" w:line="480" w:lineRule="auto"/>
        <w:ind w:firstLine="720"/>
        <w:jc w:val="left"/>
      </w:pPr>
      <w:r>
        <w:rPr>
          <w:rFonts w:ascii="Times New Roman" w:hAnsi="Times New Roman"/>
          <w:b w:val="0"/>
          <w:i w:val="0"/>
          <w:sz w:val="24"/>
          <w:u w:val="none"/>
        </w:rPr>
        <w:t>Andrew Pigors, Complainant</w:t>
      </w:r>
    </w:p>
    <w:p>
      <w:pPr>
        <w:spacing w:after="0" w:before="0" w:line="480" w:lineRule="auto"/>
        <w:ind w:firstLine="720"/>
        <w:jc w:val="left"/>
      </w:pPr>
      <w:r>
        <w:rPr>
          <w:rFonts w:ascii="Times New Roman" w:hAnsi="Times New Roman"/>
          <w:b w:val="0"/>
          <w:i w:val="0"/>
          <w:sz w:val="24"/>
          <w:u w:val="none"/>
        </w:rPr>
        <w:t>Date: _______________</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val="0"/>
          <w:i w:val="0"/>
          <w:sz w:val="24"/>
          <w:u w:val="none"/>
        </w:rPr>
        <w:t>Subscribed and sworn before me this ___</w:t>
      </w:r>
      <w:r>
        <w:rPr>
          <w:rFonts w:ascii="Times New Roman" w:hAnsi="Times New Roman"/>
          <w:b w:val="0"/>
          <w:i w:val="0"/>
          <w:sz w:val="24"/>
          <w:u w:val="single"/>
        </w:rPr>
        <w:t xml:space="preserve"> day of </w:t>
      </w:r>
      <w:r>
        <w:rPr>
          <w:rFonts w:ascii="Times New Roman" w:hAnsi="Times New Roman"/>
          <w:b w:val="0"/>
          <w:i w:val="0"/>
          <w:sz w:val="24"/>
          <w:u w:val="none"/>
        </w:rPr>
        <w:t>_____________, 2026.</w:t>
      </w:r>
    </w:p>
    <w:p>
      <w:pPr>
        <w:spacing w:after="0" w:before="0" w:line="480" w:lineRule="auto"/>
        <w:ind w:firstLine="720"/>
        <w:jc w:val="left"/>
      </w:pPr>
      <w:r>
        <w:rPr>
          <w:rFonts w:ascii="Times New Roman" w:hAnsi="Times New Roman"/>
          <w:b w:val="0"/>
          <w:i w:val="0"/>
          <w:sz w:val="24"/>
          <w:u w:val="single"/>
        </w:rPr>
        <w:t>_________________________</w:t>
      </w:r>
    </w:p>
    <w:p>
      <w:pPr>
        <w:spacing w:after="0" w:before="0" w:line="480" w:lineRule="auto"/>
        <w:ind w:firstLine="720"/>
        <w:jc w:val="left"/>
      </w:pPr>
      <w:r>
        <w:rPr>
          <w:rFonts w:ascii="Times New Roman" w:hAnsi="Times New Roman"/>
          <w:b w:val="0"/>
          <w:i w:val="0"/>
          <w:sz w:val="24"/>
          <w:u w:val="none"/>
        </w:rPr>
        <w:t>Notary Public, State of Michigan</w:t>
      </w:r>
    </w:p>
    <w:p>
      <w:pPr>
        <w:spacing w:after="0" w:before="0" w:line="480" w:lineRule="auto"/>
        <w:ind w:firstLine="720"/>
        <w:jc w:val="left"/>
      </w:pPr>
      <w:r>
        <w:rPr>
          <w:rFonts w:ascii="Times New Roman" w:hAnsi="Times New Roman"/>
          <w:b w:val="0"/>
          <w:i w:val="0"/>
          <w:sz w:val="24"/>
          <w:u w:val="none"/>
        </w:rPr>
        <w:t>County of _______________</w:t>
      </w:r>
    </w:p>
    <w:p>
      <w:pPr>
        <w:spacing w:after="0" w:before="0" w:line="480" w:lineRule="auto"/>
        <w:ind w:firstLine="720"/>
        <w:jc w:val="left"/>
      </w:pPr>
      <w:r>
        <w:rPr>
          <w:rFonts w:ascii="Times New Roman" w:hAnsi="Times New Roman"/>
          <w:b w:val="0"/>
          <w:i w:val="0"/>
          <w:sz w:val="24"/>
          <w:u w:val="none"/>
        </w:rPr>
        <w:t>My Commission Expires: _______________</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CERTIFICATE OF SERVICE</w:t>
      </w:r>
    </w:p>
    <w:p>
      <w:pPr>
        <w:spacing w:after="0" w:before="0" w:line="480" w:lineRule="auto"/>
        <w:ind w:firstLine="720"/>
        <w:jc w:val="left"/>
      </w:pPr>
      <w:r>
        <w:rPr>
          <w:rFonts w:ascii="Times New Roman" w:hAnsi="Times New Roman"/>
          <w:b w:val="0"/>
          <w:i w:val="0"/>
          <w:sz w:val="24"/>
          <w:u w:val="none"/>
        </w:rPr>
        <w:t>I, Andrew Pigors, certify that on _______________, 2026, I served a true and correct copy of this Formal Complaint and all supporting exhibits upon the following:</w:t>
      </w:r>
    </w:p>
    <w:p>
      <w:pPr>
        <w:spacing w:after="0" w:before="0" w:line="480" w:lineRule="auto"/>
        <w:ind w:firstLine="720"/>
        <w:jc w:val="left"/>
      </w:pPr>
      <w:r>
        <w:rPr>
          <w:rFonts w:ascii="Times New Roman" w:hAnsi="Times New Roman"/>
          <w:b/>
          <w:i w:val="0"/>
          <w:sz w:val="24"/>
          <w:u w:val="none"/>
        </w:rPr>
        <w:t>Judicial Tenure Commission</w:t>
      </w:r>
    </w:p>
    <w:p>
      <w:pPr>
        <w:spacing w:after="0" w:before="0" w:line="480" w:lineRule="auto"/>
        <w:ind w:firstLine="720"/>
        <w:jc w:val="left"/>
      </w:pPr>
      <w:r>
        <w:rPr>
          <w:rFonts w:ascii="Times New Roman" w:hAnsi="Times New Roman"/>
          <w:b w:val="0"/>
          <w:i w:val="0"/>
          <w:sz w:val="24"/>
          <w:u w:val="none"/>
        </w:rPr>
        <w:t>3034 W. Grand Blvd., Suite 8-450</w:t>
      </w:r>
    </w:p>
    <w:p>
      <w:pPr>
        <w:spacing w:after="0" w:before="0" w:line="480" w:lineRule="auto"/>
        <w:ind w:firstLine="720"/>
        <w:jc w:val="left"/>
      </w:pPr>
      <w:r>
        <w:rPr>
          <w:rFonts w:ascii="Times New Roman" w:hAnsi="Times New Roman"/>
          <w:b w:val="0"/>
          <w:i w:val="0"/>
          <w:sz w:val="24"/>
          <w:u w:val="none"/>
        </w:rPr>
        <w:t>Detroit, MI 48202</w:t>
      </w:r>
    </w:p>
    <w:p>
      <w:pPr>
        <w:spacing w:after="0" w:before="0" w:line="480" w:lineRule="auto"/>
        <w:ind w:firstLine="720"/>
        <w:jc w:val="left"/>
      </w:pPr>
      <w:r>
        <w:rPr>
          <w:rFonts w:ascii="Times New Roman" w:hAnsi="Times New Roman"/>
          <w:b/>
          <w:i w:val="0"/>
          <w:sz w:val="24"/>
          <w:u w:val="none"/>
        </w:rPr>
        <w:t>Respondent:</w:t>
      </w:r>
    </w:p>
    <w:p>
      <w:pPr>
        <w:spacing w:after="0" w:before="0" w:line="480" w:lineRule="auto"/>
        <w:ind w:firstLine="720"/>
        <w:jc w:val="left"/>
      </w:pPr>
      <w:r>
        <w:rPr>
          <w:rFonts w:ascii="Times New Roman" w:hAnsi="Times New Roman"/>
          <w:b w:val="0"/>
          <w:i w:val="0"/>
          <w:sz w:val="24"/>
          <w:u w:val="none"/>
        </w:rPr>
        <w:t>Hon. Jenny L. McNeill</w:t>
      </w:r>
    </w:p>
    <w:p>
      <w:pPr>
        <w:spacing w:after="0" w:before="0" w:line="480" w:lineRule="auto"/>
        <w:ind w:firstLine="720"/>
        <w:jc w:val="left"/>
      </w:pPr>
      <w:r>
        <w:rPr>
          <w:rFonts w:ascii="Times New Roman" w:hAnsi="Times New Roman"/>
          <w:b w:val="0"/>
          <w:i w:val="0"/>
          <w:sz w:val="24"/>
          <w:u w:val="none"/>
        </w:rPr>
        <w:t>14th Circuit Court</w:t>
      </w:r>
    </w:p>
    <w:p>
      <w:pPr>
        <w:spacing w:after="0" w:before="0" w:line="480" w:lineRule="auto"/>
        <w:ind w:firstLine="720"/>
        <w:jc w:val="left"/>
      </w:pPr>
      <w:r>
        <w:rPr>
          <w:rFonts w:ascii="Times New Roman" w:hAnsi="Times New Roman"/>
          <w:b w:val="0"/>
          <w:i w:val="0"/>
          <w:sz w:val="24"/>
          <w:u w:val="none"/>
        </w:rPr>
        <w:t>990 Terrace Street</w:t>
      </w:r>
    </w:p>
    <w:p>
      <w:pPr>
        <w:spacing w:after="0" w:before="0" w:line="480" w:lineRule="auto"/>
        <w:ind w:firstLine="720"/>
        <w:jc w:val="left"/>
      </w:pPr>
      <w:r>
        <w:rPr>
          <w:rFonts w:ascii="Times New Roman" w:hAnsi="Times New Roman"/>
          <w:b w:val="0"/>
          <w:i w:val="0"/>
          <w:sz w:val="24"/>
          <w:u w:val="none"/>
        </w:rPr>
        <w:t>Muskegon, MI 49442</w:t>
      </w:r>
    </w:p>
    <w:p>
      <w:pPr>
        <w:spacing w:after="0" w:before="0" w:line="480" w:lineRule="auto"/>
        <w:ind w:firstLine="720"/>
        <w:jc w:val="left"/>
      </w:pPr>
      <w:r>
        <w:rPr>
          <w:rFonts w:ascii="Times New Roman" w:hAnsi="Times New Roman"/>
          <w:b w:val="0"/>
          <w:i w:val="0"/>
          <w:sz w:val="24"/>
          <w:u w:val="single"/>
        </w:rPr>
        <w:t>_________________________</w:t>
      </w:r>
    </w:p>
    <w:p>
      <w:pPr>
        <w:spacing w:after="0" w:before="0" w:line="480" w:lineRule="auto"/>
        <w:ind w:firstLine="720"/>
        <w:jc w:val="left"/>
      </w:pPr>
      <w:r>
        <w:rPr>
          <w:rFonts w:ascii="Times New Roman" w:hAnsi="Times New Roman"/>
          <w:b w:val="0"/>
          <w:i w:val="0"/>
          <w:sz w:val="24"/>
          <w:u w:val="none"/>
        </w:rPr>
        <w:t>Andrew Pigors</w:t>
      </w:r>
    </w:p>
    <w:p>
      <w:pPr>
        <w:spacing w:after="0" w:before="0" w:line="480" w:lineRule="auto"/>
        <w:ind w:firstLine="720"/>
        <w:jc w:val="left"/>
      </w:pPr>
      <w:r>
        <w:rPr>
          <w:rFonts w:ascii="Times New Roman" w:hAnsi="Times New Roman"/>
          <w:b w:val="0"/>
          <w:i w:val="0"/>
          <w:sz w:val="24"/>
          <w:u w:val="none"/>
        </w:rPr>
        <w:t>Date: _______________</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val="0"/>
          <w:i/>
          <w:sz w:val="24"/>
          <w:u w:val="none"/>
        </w:rPr>
        <w:t>Respectfully submitted,</w:t>
      </w:r>
    </w:p>
    <w:p>
      <w:pPr>
        <w:spacing w:after="0" w:before="0" w:line="480" w:lineRule="auto"/>
        <w:ind w:firstLine="720"/>
        <w:jc w:val="left"/>
      </w:pPr>
      <w:r>
        <w:rPr>
          <w:rFonts w:ascii="Times New Roman" w:hAnsi="Times New Roman"/>
          <w:b w:val="0"/>
          <w:i w:val="0"/>
          <w:sz w:val="24"/>
          <w:u w:val="none"/>
        </w:rPr>
        <w:t>/s/ Andrew Pigors</w:t>
      </w:r>
    </w:p>
    <w:p>
      <w:pPr>
        <w:spacing w:after="0" w:before="0" w:line="480" w:lineRule="auto"/>
        <w:ind w:firstLine="720"/>
        <w:jc w:val="left"/>
      </w:pPr>
      <w:r>
        <w:rPr>
          <w:rFonts w:ascii="Times New Roman" w:hAnsi="Times New Roman"/>
          <w:b/>
          <w:i w:val="0"/>
          <w:sz w:val="24"/>
          <w:u w:val="none"/>
        </w:rPr>
        <w:t>Andrew Pigors, Pro Se</w:t>
      </w:r>
    </w:p>
    <w:p>
      <w:pPr>
        <w:spacing w:after="0" w:before="0" w:line="480" w:lineRule="auto"/>
        <w:ind w:firstLine="720"/>
        <w:jc w:val="left"/>
      </w:pPr>
      <w:r>
        <w:rPr>
          <w:rFonts w:ascii="Times New Roman" w:hAnsi="Times New Roman"/>
          <w:b w:val="0"/>
          <w:i w:val="0"/>
          <w:sz w:val="24"/>
          <w:u w:val="none"/>
        </w:rPr>
        <w:t>Complainant</w:t>
      </w:r>
    </w:p>
    <w:p>
      <w:pPr>
        <w:spacing w:after="0" w:before="0" w:line="480" w:lineRule="auto"/>
        <w:ind w:firstLine="720"/>
        <w:jc w:val="left"/>
      </w:pPr>
      <w:r>
        <w:rPr>
          <w:rFonts w:ascii="Times New Roman" w:hAnsi="Times New Roman"/>
          <w:b w:val="0"/>
          <w:i w:val="0"/>
          <w:sz w:val="24"/>
          <w:u w:val="none"/>
        </w:rPr>
        <w:t>1977 Whitehall Road, Lot 17</w:t>
      </w:r>
    </w:p>
    <w:p>
      <w:pPr>
        <w:spacing w:after="0" w:before="0" w:line="480" w:lineRule="auto"/>
        <w:ind w:firstLine="720"/>
        <w:jc w:val="left"/>
      </w:pPr>
      <w:r>
        <w:rPr>
          <w:rFonts w:ascii="Times New Roman" w:hAnsi="Times New Roman"/>
          <w:b w:val="0"/>
          <w:i w:val="0"/>
          <w:sz w:val="24"/>
          <w:u w:val="none"/>
        </w:rPr>
        <w:t>Muskegon, MI 49445</w:t>
      </w:r>
    </w:p>
    <w:p>
      <w:pPr>
        <w:spacing w:after="0" w:before="0" w:line="480" w:lineRule="auto"/>
        <w:ind w:firstLine="720"/>
        <w:jc w:val="left"/>
      </w:pPr>
      <w:r>
        <w:rPr>
          <w:rFonts w:ascii="Times New Roman" w:hAnsi="Times New Roman"/>
          <w:b w:val="0"/>
          <w:i w:val="0"/>
          <w:sz w:val="24"/>
          <w:u w:val="none"/>
        </w:rPr>
        <w:t>(231) 903-5690</w:t>
      </w:r>
    </w:p>
    <w:p>
      <w:pPr>
        <w:spacing w:after="0" w:before="0" w:line="480" w:lineRule="auto"/>
        <w:ind w:firstLine="720"/>
        <w:jc w:val="left"/>
      </w:pPr>
      <w:r>
        <w:rPr>
          <w:rFonts w:ascii="Times New Roman" w:hAnsi="Times New Roman"/>
          <w:b w:val="0"/>
          <w:i w:val="0"/>
          <w:sz w:val="24"/>
          <w:u w:val="none"/>
        </w:rPr>
        <w:t>andrewpigors@gmail.com</w:t>
      </w:r>
    </w:p>
    <w:p>
      <w:pPr>
        <w:spacing w:after="0" w:before="0" w:line="480" w:lineRule="auto"/>
        <w:ind w:firstLine="720"/>
        <w:jc w:val="left"/>
      </w:pPr>
      <w:r>
        <w:rPr>
          <w:rFonts w:ascii="Times New Roman" w:hAnsi="Times New Roman"/>
          <w:b w:val="0"/>
          <w:i w:val="0"/>
          <w:sz w:val="24"/>
          <w:u w:val="none"/>
        </w:rPr>
        <w:t>Date: _______________,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