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Judicial Tenure Commission — Supplemental Statement &amp; Attachments (Expanded)</w:t>
      </w:r>
    </w:p>
    <w:p>
      <w:pPr>
        <w:jc w:val="center"/>
      </w:pPr>
      <w:r>
        <w:t>To be submitted with Request for Investigation (RFI)</w:t>
      </w:r>
    </w:p>
    <w:p>
      <w:pPr>
        <w:pStyle w:val="BodyText"/>
      </w:pPr>
      <w:r>
        <w:t>Complainant: Andrew J. Pigors</w:t>
      </w:r>
    </w:p>
    <w:p>
      <w:pPr>
        <w:pStyle w:val="BodyText"/>
      </w:pPr>
      <w:r>
        <w:t>Respondent Judicial Officer: Hon. Jenny L. McNeill, 14th Judicial Circuit Court, Family Division (Muskegon)</w:t>
      </w:r>
    </w:p>
    <w:p>
      <w:pPr>
        <w:pStyle w:val="BodyText"/>
      </w:pPr>
      <w:r>
        <w:t>Related Matters: Pigors v. Watson, No. 2024-001507-DC (Custody); Watson v. Pigors, No. 2023-5907-PP (PPO)</w:t>
      </w:r>
    </w:p>
    <w:p>
      <w:pPr>
        <w:pStyle w:val="BodyText"/>
      </w:pPr>
      <w:r>
        <w:t>Filing Compliance: Complete Parts I–IV of the JTC RFI form; attach copies (not originals); wet signature(s) with Notary required; return by first-class mail (no email/fax).</w:t>
      </w:r>
    </w:p>
    <w:p/>
    <w:p>
      <w:r>
        <w:rPr>
          <w:b/>
        </w:rPr>
        <w:t>Table of Contents (update fields in Word to render)</w:t>
      </w:r>
    </w:p>
    <w:fldSimple w:instr="TOC \o &quot;1-3&quot; \h \z \u"/>
    <w:p>
      <w:pPr>
        <w:pStyle w:val="Heading1"/>
      </w:pPr>
      <w:r>
        <w:t>I. Canon Baselines</w:t>
      </w:r>
    </w:p>
    <w:p>
      <w:pPr>
        <w:pStyle w:val="ListBullet"/>
      </w:pPr>
      <w:r>
        <w:t>Canon 1 — Integrity of the Judiciary: uphold high standards; the system exists for the benefit of litigants and the public.</w:t>
      </w:r>
    </w:p>
    <w:p>
      <w:pPr>
        <w:pStyle w:val="ListBullet"/>
      </w:pPr>
      <w:r>
        <w:t>Canon 2 — Avoid impropriety &amp; its appearance; treat every person fairly, with courtesy and respect.</w:t>
      </w:r>
    </w:p>
    <w:p>
      <w:pPr>
        <w:pStyle w:val="ListBullet"/>
      </w:pPr>
      <w:r>
        <w:t>Canon 3(A)(1) — Faithful to the law; unswayed by clamor or criticism.</w:t>
      </w:r>
    </w:p>
    <w:p>
      <w:pPr>
        <w:pStyle w:val="ListBullet"/>
      </w:pPr>
      <w:r>
        <w:t>Canon 3(A)(4) — Make reasonable efforts so all litigants, including SRLs, are fairly heard.</w:t>
      </w:r>
    </w:p>
    <w:p>
      <w:pPr>
        <w:pStyle w:val="ListBullet"/>
      </w:pPr>
      <w:r>
        <w:t>Canon 3(A)(5) — No ex parte/extra-record merits communications; if allowed administratively, prompt disclosure and opportunity to respond.</w:t>
      </w:r>
    </w:p>
    <w:p>
      <w:pPr>
        <w:pStyle w:val="ListBullet"/>
      </w:pPr>
      <w:r>
        <w:t>Canon 3(A)(6) — Dispose promptly of court business.</w:t>
      </w:r>
    </w:p>
    <w:p>
      <w:pPr>
        <w:pStyle w:val="ListBullet"/>
      </w:pPr>
      <w:r>
        <w:t>Canon 3(A)(9) — Judge must require staff to refrain from statements/acts the judge is barred from.</w:t>
      </w:r>
    </w:p>
    <w:p>
      <w:pPr>
        <w:pStyle w:val="ListBullet"/>
      </w:pPr>
      <w:r>
        <w:t>Canon 3(A)(13) — Avoid undue interference; impatience/participation may prevent proper presentation of the cause.</w:t>
      </w:r>
    </w:p>
    <w:p>
      <w:pPr>
        <w:pStyle w:val="ListBullet"/>
      </w:pPr>
      <w:r>
        <w:t>Canon 3(A)(15) — Treat every person fairly, with courtesy and respect; require staff to do likewise.</w:t>
      </w:r>
    </w:p>
    <w:p>
      <w:pPr>
        <w:pStyle w:val="Heading1"/>
      </w:pPr>
      <w:r>
        <w:t>II. Chronological Statement of Facts (Nov 2023 → Oct 29, 2025)</w:t>
      </w:r>
    </w:p>
    <w:p>
      <w:r>
        <w:rPr>
          <w:b/>
        </w:rPr>
        <w:t>1. Nov 30, 2023 — Third-party threat to cut off parenting time (recorded).</w:t>
      </w:r>
    </w:p>
    <w:p>
      <w:pPr>
        <w:pStyle w:val="BodyText"/>
      </w:pPr>
      <w:r>
        <w:t>Albert Watson stated he would ensure I did not see my son again (audio/transcript attached). The court later allowed him to appear without prior witness notice to lay foundation for a partial recording against me. Canons: 3(A)(1), 3(A)(13), 2(A)-(B).</w:t>
      </w:r>
    </w:p>
    <w:p>
      <w:r>
        <w:rPr>
          <w:b/>
        </w:rPr>
        <w:t>2. Oct–Dec 2023 — Multiple police contacts with no criminal findings (misused in PPO narrative).</w:t>
      </w:r>
    </w:p>
    <w:p>
      <w:pPr>
        <w:pStyle w:val="BodyText"/>
      </w:pPr>
      <w:r>
        <w:t>A series of non-criminal calls and a false welfare-check allegation were later leveraged in PPO/custody, despite no corroborated criminal conduct. Canons: 3(A)(1), 2(B).</w:t>
      </w:r>
    </w:p>
    <w:p>
      <w:r>
        <w:rPr>
          <w:b/>
        </w:rPr>
        <w:t>3. Mar 26 &amp; Mar 29 &amp; Apr 2, 2024 — Exchange-related police calls, no criminal findings.</w:t>
      </w:r>
    </w:p>
    <w:p>
      <w:pPr>
        <w:pStyle w:val="BodyText"/>
      </w:pPr>
      <w:r>
        <w:t>These records undercut danger narratives but were not given equal footing when I attempted to introduce them. Canons: 3(A)(4), 2(B).</w:t>
      </w:r>
    </w:p>
    <w:p>
      <w:r>
        <w:rPr>
          <w:b/>
        </w:rPr>
        <w:t>4. Aug 23, 2024 — Docket irregularity (case marked “closed” while proceedings continued).</w:t>
      </w:r>
    </w:p>
    <w:p>
      <w:pPr>
        <w:pStyle w:val="BodyText"/>
      </w:pPr>
      <w:r>
        <w:t>Family case was shown closed on the ROA but hearings, show causes, and orders continued thereafter—an administrative inconsistency that impaired my ability to track and respond. Canons: 3(A)(6), 3(A)(1).</w:t>
      </w:r>
    </w:p>
    <w:p>
      <w:r>
        <w:rPr>
          <w:b/>
        </w:rPr>
        <w:t>5. Oct 2024 — Hearing predating dismissal of Show Cause #3; surprise witness; muting.</w:t>
      </w:r>
    </w:p>
    <w:p>
      <w:pPr>
        <w:pStyle w:val="BodyText"/>
      </w:pPr>
      <w:r>
        <w:t>I was muted when offering a contemporaneous police report; opposing witness appeared without disclosed list to lay foundation for a partial recording. Canons: 3(A)(4), 3(A)(13), 2(A)-(B).</w:t>
      </w:r>
    </w:p>
    <w:p>
      <w:r>
        <w:rPr>
          <w:b/>
        </w:rPr>
        <w:t>6. Feb 2025 — PPO “contempt” based solely on verbal testimony; SRL muted; defense exhibits curtailed.</w:t>
      </w:r>
    </w:p>
    <w:p>
      <w:pPr>
        <w:pStyle w:val="BodyText"/>
      </w:pPr>
      <w:r>
        <w:t>When I attempted to present a near-contemporaneous police report, I was muted; the court proceeded on unsupported oral allegations. Canons: 3(A)(3)-(4), 3(A)(13).</w:t>
      </w:r>
    </w:p>
    <w:p>
      <w:r>
        <w:rPr>
          <w:b/>
        </w:rPr>
        <w:t>7. Jul 29, 2025 — Last parenting time before suspension (photos show child safe and well).</w:t>
      </w:r>
    </w:p>
    <w:p>
      <w:pPr>
        <w:pStyle w:val="BodyText"/>
      </w:pPr>
      <w:r>
        <w:t>These photos, proffered to rebut later “emergency” claims, were discounted. Canons: 3(A)(4), 2(B).</w:t>
      </w:r>
    </w:p>
    <w:p>
      <w:r>
        <w:rPr>
          <w:b/>
        </w:rPr>
        <w:t>8. Aug 8–9, 2025 — Parenting time suspended ex parte without sworn, child-specific findings or timely service.</w:t>
      </w:r>
    </w:p>
    <w:p>
      <w:pPr>
        <w:pStyle w:val="BodyText"/>
      </w:pPr>
      <w:r>
        <w:t>I learned of the order after a missed exchange; no prompt adversarial hearing. Canons: 3(A)(1), 3(A)(5), 2(A)-(B).</w:t>
      </w:r>
    </w:p>
    <w:p>
      <w:r>
        <w:rPr>
          <w:b/>
        </w:rPr>
        <w:t>9. Aug 2025 — One-sided media handling: court staff pre-listened to Mother’s USB; my access delayed.</w:t>
      </w:r>
    </w:p>
    <w:p>
      <w:pPr>
        <w:pStyle w:val="BodyText"/>
      </w:pPr>
      <w:r>
        <w:t>Staff reviewed audio outside any hearing; I received it after the first session. Canons: 3(A)(5), 3(A)(9).</w:t>
      </w:r>
    </w:p>
    <w:p>
      <w:r>
        <w:rPr>
          <w:b/>
        </w:rPr>
        <w:t>10. Aug 28, 2025 — Refusal to consider exculpatory photos; crediting hearsay anecdotes.</w:t>
      </w:r>
    </w:p>
    <w:p>
      <w:pPr>
        <w:pStyle w:val="BodyText"/>
      </w:pPr>
      <w:r>
        <w:t>When I offered 7/29 photos, the court declined to view them, yet expressed concern based on untested hearsay (what the child allegedly told a neighbor). Canons: 2(A)-(B), 3(A)(4).</w:t>
      </w:r>
    </w:p>
    <w:p>
      <w:r>
        <w:rPr>
          <w:b/>
        </w:rPr>
        <w:t>11. Sept 1–5, 2025 — Off-docket evidence route: ordered to email HealthWest evaluation to chambers, not file.</w:t>
      </w:r>
    </w:p>
    <w:p>
      <w:pPr>
        <w:pStyle w:val="BodyText"/>
      </w:pPr>
      <w:r>
        <w:t>I was instructed by chambers to email my mental-health evaluation (9/5/2025), placing it outside the ROA. No prompt disclosure equalized to the other side. Canons: 3(A)(5), 2(A).</w:t>
      </w:r>
    </w:p>
    <w:p>
      <w:r>
        <w:rPr>
          <w:b/>
        </w:rPr>
        <w:t>12. Sept 9, 2025 — Continuation “until further order” without evidentiary findings; evaluation ignored or discounted.</w:t>
      </w:r>
    </w:p>
    <w:p>
      <w:pPr>
        <w:pStyle w:val="BodyText"/>
      </w:pPr>
      <w:r>
        <w:t>The interim order extended the separation without a conclusive evidentiary hearing or findings addressing best-interest harm. Canons: 3(A)(1), 2(B).</w:t>
      </w:r>
    </w:p>
    <w:p>
      <w:r>
        <w:rPr>
          <w:b/>
        </w:rPr>
        <w:t>13. Mid-Sept 2025 — Five missed parenting-time blocks (including Labor Day holiday) with no remedial plan.</w:t>
      </w:r>
    </w:p>
    <w:p>
      <w:pPr>
        <w:pStyle w:val="BodyText"/>
      </w:pPr>
      <w:r>
        <w:t>The accumulating deprivation was not addressed with make-up time or prompt relief. Canons: 3(A)(6), 2(B).</w:t>
      </w:r>
    </w:p>
    <w:p>
      <w:r>
        <w:rPr>
          <w:b/>
        </w:rPr>
        <w:t>14. Oct 8, 2025 — Hearing continued to Oct 29 (approx. 90 days post ex parte).</w:t>
      </w:r>
    </w:p>
    <w:p>
      <w:pPr>
        <w:pStyle w:val="BodyText"/>
      </w:pPr>
      <w:r>
        <w:t>Delay magnified harm; “emergency” relief remained in place without timely merits adjudication. Canon: 3(A)(6).</w:t>
      </w:r>
    </w:p>
    <w:p>
      <w:r>
        <w:rPr>
          <w:b/>
        </w:rPr>
        <w:t>15. Oct 29, 2025 — Belated merits hearing after ~3 months of separation.</w:t>
      </w:r>
    </w:p>
    <w:p>
      <w:pPr>
        <w:pStyle w:val="BodyText"/>
      </w:pPr>
      <w:r>
        <w:t>Only then were sworn proofs heard; damage to parent-child relationship already substantial. Canons: 2(A)-(B), 3(A)(6).</w:t>
      </w:r>
    </w:p>
    <w:p>
      <w:r>
        <w:rPr>
          <w:b/>
        </w:rPr>
        <w:t>16. Service/notice anomalies across Show Cause #3–#5 (2024–2025).</w:t>
      </w:r>
    </w:p>
    <w:p>
      <w:pPr>
        <w:pStyle w:val="BodyText"/>
      </w:pPr>
      <w:r>
        <w:t>SC #3: served by Albert Watson during a custody exchange (no disclosed witness list; later used to authenticate recording). SC #4 &amp; #5: personally served at my home during parenting time and &lt;5 days before hearings. Canons: 3(A)(4), 3(A)(13), 2(B).</w:t>
      </w:r>
    </w:p>
    <w:p>
      <w:pPr>
        <w:pStyle w:val="Heading1"/>
      </w:pPr>
      <w:r>
        <w:t>III. Canon-by-Canon Violations Matrix</w:t>
      </w:r>
    </w:p>
    <w:p>
      <w:r>
        <w:rPr>
          <w:b/>
        </w:rPr>
        <w:t xml:space="preserve">Canon 2(A)-(B): </w:t>
      </w:r>
      <w:r>
        <w:t>Appearance of partiality; fairness. One-sided media intake; off-docket email route; refusal to view defense photos; surprise witness; prolonged delays while one side retains de facto custody.</w:t>
      </w:r>
    </w:p>
    <w:p>
      <w:r>
        <w:rPr>
          <w:b/>
        </w:rPr>
        <w:t xml:space="preserve">Canon 3(A)(1): </w:t>
      </w:r>
      <w:r>
        <w:t>Faithful to the law. Ex parte suspension without sworn, child-specific findings or prompt evidentiary hearing; docket/administrative irregularities impeding lawful process.</w:t>
      </w:r>
    </w:p>
    <w:p>
      <w:r>
        <w:rPr>
          <w:b/>
        </w:rPr>
        <w:t xml:space="preserve">Canon 3(A)(4): </w:t>
      </w:r>
      <w:r>
        <w:t>SRL fairly heard. Muting; blocked exhibits; decline to consider exculpatory materials; notice/witness issues.</w:t>
      </w:r>
    </w:p>
    <w:p>
      <w:r>
        <w:rPr>
          <w:b/>
        </w:rPr>
        <w:t xml:space="preserve">Canon 3(A)(5): </w:t>
      </w:r>
      <w:r>
        <w:t>No merits ex parte; disclosure if any admin ex parte occurs. Staff pre-listened to USB; off-record evaluation to chambers; no prompt equalization.</w:t>
      </w:r>
    </w:p>
    <w:p>
      <w:r>
        <w:rPr>
          <w:b/>
        </w:rPr>
        <w:t xml:space="preserve">Canon 3(A)(6): </w:t>
      </w:r>
      <w:r>
        <w:t>Prompt disposition. ~90-day lag from ex parte to full hearing while parenting time remained suspended.</w:t>
      </w:r>
    </w:p>
    <w:p>
      <w:r>
        <w:rPr>
          <w:b/>
        </w:rPr>
        <w:t xml:space="preserve">Canon 3(A)(9): </w:t>
      </w:r>
      <w:r>
        <w:t>Control of staff. Staff considered media outside proceedings; judge must require staff to refrain from such conduct.</w:t>
      </w:r>
    </w:p>
    <w:p>
      <w:r>
        <w:rPr>
          <w:b/>
        </w:rPr>
        <w:t xml:space="preserve">Canon 3(A)(13): </w:t>
      </w:r>
      <w:r>
        <w:t>Avoid undue interference. Repeated muting/curtailment; surprise foundation witness; tone/practices risking unjust disposition.</w:t>
      </w:r>
    </w:p>
    <w:p>
      <w:r>
        <w:rPr>
          <w:b/>
        </w:rPr>
        <w:t xml:space="preserve">Canon 3(A)(15): </w:t>
      </w:r>
      <w:r>
        <w:t>Fair, courteous treatment; require staff to do the same. SRL-hostile dynamics reflected in uneven enforcement and interruptions.</w:t>
      </w:r>
    </w:p>
    <w:p>
      <w:pPr>
        <w:pStyle w:val="Heading1"/>
      </w:pPr>
      <w:r>
        <w:t>IV. Harms &amp; Prejudice</w:t>
      </w:r>
    </w:p>
    <w:p>
      <w:r>
        <w:rPr>
          <w:b/>
        </w:rPr>
        <w:t xml:space="preserve">Parent–Child Separation: </w:t>
      </w:r>
      <w:r>
        <w:t>Lost contact from 7/29/2025 through the merits hearing, including five blocked parenting-time periods and a holiday—without clear, on-record findings. Canons: 3(A)(6), 2(B).</w:t>
      </w:r>
    </w:p>
    <w:p>
      <w:r>
        <w:rPr>
          <w:b/>
        </w:rPr>
        <w:t xml:space="preserve">Due-Process Injury: </w:t>
      </w:r>
      <w:r>
        <w:t>Extra-record evidence handling; off-docket submission directive; delayed adversarial access to opponent’s media; muting and exhibit restrictions. Canons: 3(A)(5), 3(A)(4), 3(A)(13).</w:t>
      </w:r>
    </w:p>
    <w:p>
      <w:r>
        <w:rPr>
          <w:b/>
        </w:rPr>
        <w:t xml:space="preserve">Collateral Harm: </w:t>
      </w:r>
      <w:r>
        <w:t>Employment instability tied to PPO/contempt path; reputational damage from untested allegations later contradicted by records. Canons: 1, 2(A).</w:t>
      </w:r>
    </w:p>
    <w:p>
      <w:pPr>
        <w:pStyle w:val="Heading1"/>
      </w:pPr>
      <w:r>
        <w:t>V. Exhibit Index (Attach copies; retain originals)</w:t>
      </w:r>
    </w:p>
    <w:p>
      <w:r>
        <w:rPr>
          <w:b/>
        </w:rPr>
        <w:t xml:space="preserve">Exhibit A — AppClose Message Log (04/01/2024–04/30/2025) — </w:t>
      </w:r>
      <w:r>
        <w:t>Requests to exercise parenting time; ignored messages. Copy appended by filer.</w:t>
      </w:r>
    </w:p>
    <w:p>
      <w:r>
        <w:rPr>
          <w:b/>
        </w:rPr>
        <w:t xml:space="preserve">Exhibit B — Photos of Lincoln (07/29/2025) — </w:t>
      </w:r>
      <w:r>
        <w:t>Child safe and content with father prior to suspension. Copy appended by filer.</w:t>
      </w:r>
    </w:p>
    <w:p>
      <w:r>
        <w:rPr>
          <w:b/>
        </w:rPr>
        <w:t xml:space="preserve">Exhibit C — Ex Parte Order (08/08/2025) — </w:t>
      </w:r>
      <w:r>
        <w:t>Parenting time suspended; no sworn, child-specific findings. Copy appended by filer.</w:t>
      </w:r>
    </w:p>
    <w:p>
      <w:r>
        <w:rPr>
          <w:b/>
        </w:rPr>
        <w:t xml:space="preserve">Exhibit D — Interim Order (09/09/2025) — </w:t>
      </w:r>
      <w:r>
        <w:t>Suspension continued “until further order” without findings. Copy appended by filer.</w:t>
      </w:r>
    </w:p>
    <w:p>
      <w:r>
        <w:rPr>
          <w:b/>
        </w:rPr>
        <w:t xml:space="preserve">Exhibit E — Emails from Chambers (09/01–09/05/2025) — </w:t>
      </w:r>
      <w:r>
        <w:t>Directive to email HealthWest evaluation (off-docket). Copy appended by filer.</w:t>
      </w:r>
    </w:p>
    <w:p>
      <w:r>
        <w:rPr>
          <w:b/>
        </w:rPr>
        <w:t xml:space="preserve">Exhibit F — HealthWest Evaluation (09/05/2025) — </w:t>
      </w:r>
      <w:r>
        <w:t>Submitted to chambers per directive. Copy appended by filer.</w:t>
      </w:r>
    </w:p>
    <w:p>
      <w:r>
        <w:rPr>
          <w:b/>
        </w:rPr>
        <w:t xml:space="preserve">Exhibit G — USB Handling Evidence — </w:t>
      </w:r>
      <w:r>
        <w:t>Proof of staff pre-listening; date of filer’s first access. Copy appended by filer.</w:t>
      </w:r>
    </w:p>
    <w:p>
      <w:r>
        <w:rPr>
          <w:b/>
        </w:rPr>
        <w:t xml:space="preserve">Exhibit H — Transcript (Oct 2024 Hearing) — </w:t>
      </w:r>
      <w:r>
        <w:t>Muting/curtailment; witness/notice anomaly. Copy appended by filer.</w:t>
      </w:r>
    </w:p>
    <w:p>
      <w:r>
        <w:rPr>
          <w:b/>
        </w:rPr>
        <w:t xml:space="preserve">Exhibit I — Police Reports (03/26, 03/29, 04/02/2024) — </w:t>
      </w:r>
      <w:r>
        <w:t>Non-criminal exchanges; context. Copy appended by filer.</w:t>
      </w:r>
    </w:p>
    <w:p>
      <w:r>
        <w:rPr>
          <w:b/>
        </w:rPr>
        <w:t xml:space="preserve">Exhibit J — NSPD Confirmation (re: “meth” allegation attribution) — </w:t>
      </w:r>
      <w:r>
        <w:t>Clarifies attribution and context. Copy appended by filer.</w:t>
      </w:r>
    </w:p>
    <w:p>
      <w:r>
        <w:rPr>
          <w:b/>
        </w:rPr>
        <w:t xml:space="preserve">Exhibit K — Show Cause #3–#5 Proof-of-Service — </w:t>
      </w:r>
      <w:r>
        <w:t>Timing, method (&lt;5 days; during parenting time). Copy appended by filer.</w:t>
      </w:r>
    </w:p>
    <w:p>
      <w:r>
        <w:rPr>
          <w:b/>
        </w:rPr>
        <w:t xml:space="preserve">Exhibit L — Register of Actions Excerpts — </w:t>
      </w:r>
      <w:r>
        <w:t>Case shown “closed” 08/23/2024; later hearings/orders. Copy appended by filer.</w:t>
      </w:r>
    </w:p>
    <w:p>
      <w:pPr>
        <w:pStyle w:val="Heading1"/>
      </w:pPr>
      <w:r>
        <w:t>VI. Requested JTC Action</w:t>
      </w:r>
    </w:p>
    <w:p>
      <w:pPr>
        <w:pStyle w:val="ListBullet"/>
      </w:pPr>
      <w:r>
        <w:t>Open investigation into violations of Canon 2 and Canon 3 identified above.</w:t>
      </w:r>
    </w:p>
    <w:p>
      <w:pPr>
        <w:pStyle w:val="ListBullet"/>
      </w:pPr>
      <w:r>
        <w:t>Direct remedial measures: written protocol prohibiting off-docket evidence routing, pre-listening by staff, and ensuring prompt equal disclosure when any administrative ex parte occurs (Canons 3(A)(5), 3(A)(9)).</w:t>
      </w:r>
    </w:p>
    <w:p>
      <w:pPr>
        <w:pStyle w:val="ListBullet"/>
      </w:pPr>
      <w:r>
        <w:t>Refer for disqualification awareness in light of cumulative appearance-of-bias indicators (Canon 2(A)-(B)).</w:t>
      </w:r>
    </w:p>
    <w:p>
      <w:pPr>
        <w:pStyle w:val="Heading1"/>
      </w:pPr>
      <w:r>
        <w:t>VII. Verification</w:t>
      </w:r>
    </w:p>
    <w:p>
      <w:pPr>
        <w:pStyle w:val="BodyText"/>
      </w:pPr>
      <w:r>
        <w:t>Verification: I certify I have reviewed the Judicial Tenure Commission’s function, jurisdiction, and procedures; that the foregoing supplemental statement is true to the best of my knowledge; and I will submit it with my signed and notarized RFI form. Original signatures and Notary are required on the RFI; mail the original by first-class mail.</w:t>
      </w:r>
    </w:p>
    <w:p>
      <w:pPr>
        <w:pStyle w:val="BodyText"/>
      </w:pPr>
      <w:r>
        <w:br/>
        <w:t>_______________________________        Date: ____________</w:t>
      </w:r>
    </w:p>
    <w:p>
      <w:pPr>
        <w:pStyle w:val="BodyText"/>
      </w:pPr>
      <w:r>
        <w:t>Andrew J. Pigors</w:t>
      </w:r>
    </w:p>
    <w:p>
      <w:r>
        <w:br w:type="page"/>
      </w:r>
    </w:p>
    <w:p>
      <w:pPr>
        <w:pStyle w:val="Heading1"/>
      </w:pPr>
      <w:r>
        <w:t>Appendix — One-Page Canon Snapshot</w:t>
      </w:r>
    </w:p>
    <w:p>
      <w:pPr>
        <w:pStyle w:val="ListBullet"/>
      </w:pPr>
      <w:r>
        <w:t>Ex parte/extra-record: Staff pre-listened to opponent’s USB; directive to email MH evaluation to chambers (off-docket); no prompt equal notice/opportunity → Canons 3(A)(5), 3(A)(9), 2(A)-(B).</w:t>
      </w:r>
    </w:p>
    <w:p>
      <w:pPr>
        <w:pStyle w:val="ListBullet"/>
      </w:pPr>
      <w:r>
        <w:t>SRL fairness / interference: Muting and blocked defense exhibits; refusal to review exculpatory photos → Canons 3(A)(4), 3(A)(13), 3(A)(15).</w:t>
      </w:r>
    </w:p>
    <w:p>
      <w:pPr>
        <w:pStyle w:val="ListBullet"/>
      </w:pPr>
      <w:r>
        <w:t>Promptness: ~90 days from ex parte suspension to full merits hearing → Canon 3(A)(6).</w:t>
      </w:r>
    </w:p>
    <w:p>
      <w:pPr>
        <w:pStyle w:val="ListBullet"/>
      </w:pPr>
      <w:r>
        <w:t>Appearance of Bias: Unequal media handling; off-record submission routes; surprise witness → Canon 2(A)-(B).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