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JUDICIAL TENURE COMMISSION DRAFT NARRATIVE</w:t>
      </w:r>
    </w:p>
    <w:p>
      <w:r>
        <w:t>STRUCTURAL DUE PROCESS &amp; CANON CONCERNS ARISING FROM</w:t>
      </w:r>
    </w:p>
    <w:p>
      <w:r>
        <w:t>PARENTING-TIME SUSPENSION IN PIGORS v WATSON (MUSKEGON 14th CIRCUIT)</w:t>
      </w:r>
    </w:p>
    <w:p/>
    <w:p>
      <w:r>
        <w:t>I. INTRODUCTION</w:t>
      </w:r>
    </w:p>
    <w:p>
      <w:r>
        <w:t>1. This draft is a narrative framework for a potential complaint to the Michigan</w:t>
      </w:r>
    </w:p>
    <w:p>
      <w:r>
        <w:t xml:space="preserve">   Judicial Tenure Commission regarding the handling of parenting-time suspension,</w:t>
      </w:r>
    </w:p>
    <w:p>
      <w:r>
        <w:t xml:space="preserve">   ex parte material, mental-health evaluations, and access to court in the case</w:t>
      </w:r>
    </w:p>
    <w:p>
      <w:r>
        <w:t xml:space="preserve">   of Pigors v Watson, No. 24-01507-DC, in the Muskegon County Circuit Court,</w:t>
      </w:r>
    </w:p>
    <w:p>
      <w:r>
        <w:t xml:space="preserve">   Family Division (Hon. Jenny L. McNeill).</w:t>
      </w:r>
    </w:p>
    <w:p/>
    <w:p>
      <w:r>
        <w:t>2. It is not yet a filed complaint; it is a structured summary of concerns that can</w:t>
      </w:r>
    </w:p>
    <w:p>
      <w:r>
        <w:t xml:space="preserve">   be adapted once all relevant transcripts, orders, and exhibits are assembled and</w:t>
      </w:r>
    </w:p>
    <w:p>
      <w:r>
        <w:t xml:space="preserve">   verified. Dates and quotations must be cross-checked against the official record</w:t>
      </w:r>
    </w:p>
    <w:p>
      <w:r>
        <w:t xml:space="preserve">   before submission.</w:t>
      </w:r>
    </w:p>
    <w:p/>
    <w:p>
      <w:r>
        <w:t>II. CORE CONCERNS (SUMMARY)</w:t>
      </w:r>
    </w:p>
    <w:p>
      <w:r>
        <w:t>3. The pattern described below raises concerns under the Michigan judicial</w:t>
      </w:r>
    </w:p>
    <w:p>
      <w:r>
        <w:t xml:space="preserve">   canons, including impartiality, proper consideration of the law, ex parte</w:t>
      </w:r>
    </w:p>
    <w:p>
      <w:r>
        <w:t xml:space="preserve">   communications, fairness to self-represented litigants, and the obligation to</w:t>
      </w:r>
    </w:p>
    <w:p>
      <w:r>
        <w:t xml:space="preserve">   ensure that fundamental parental rights are not curtailed without due process.</w:t>
      </w:r>
    </w:p>
    <w:p/>
    <w:p>
      <w:r>
        <w:t>4. In particular, the following themes recur:</w:t>
      </w:r>
    </w:p>
    <w:p>
      <w:r>
        <w:t xml:space="preserve">   a. Extended reliance on an ex parte parenting-time suspension with repeated</w:t>
      </w:r>
    </w:p>
    <w:p>
      <w:r>
        <w:t xml:space="preserve">      continuances and no prompt, on-the-record evidentiary hearing;</w:t>
      </w:r>
    </w:p>
    <w:p>
      <w:r>
        <w:t xml:space="preserve">   b. Apparent off-record handling of a favorable mental-health evaluation and</w:t>
      </w:r>
    </w:p>
    <w:p>
      <w:r>
        <w:t xml:space="preserve">      subsequent reliance on a “second” evaluation that the father reports he</w:t>
      </w:r>
    </w:p>
    <w:p>
      <w:r>
        <w:t xml:space="preserve">      never underwent;</w:t>
      </w:r>
    </w:p>
    <w:p>
      <w:r>
        <w:t xml:space="preserve">   c. Court statements discouraging or effectively blocking filings by the</w:t>
      </w:r>
    </w:p>
    <w:p>
      <w:r>
        <w:t xml:space="preserve">      self-represented father (e.g., directing him not to file anything further);</w:t>
      </w:r>
    </w:p>
    <w:p>
      <w:r>
        <w:t xml:space="preserve">   d. One-sided use of ex parte evidence (a USB recording) and family-member</w:t>
      </w:r>
    </w:p>
    <w:p>
      <w:r>
        <w:t xml:space="preserve">      testimony, juxtaposed with repeated refusal to hear the father’s exhibits</w:t>
      </w:r>
    </w:p>
    <w:p>
      <w:r>
        <w:t xml:space="preserve">      showing safe and loving parenting; and</w:t>
      </w:r>
    </w:p>
    <w:p>
      <w:r>
        <w:t xml:space="preserve">   e. The cumulative effect of these decisions on the child’s relationship with</w:t>
      </w:r>
    </w:p>
    <w:p>
      <w:r>
        <w:t xml:space="preserve">      his father and on public confidence in the fairness of the process.</w:t>
      </w:r>
    </w:p>
    <w:p/>
    <w:p>
      <w:r>
        <w:t>III. FACTUAL PATTERN (OUTLINE)</w:t>
      </w:r>
    </w:p>
    <w:p>
      <w:r>
        <w:t>5. Established custodial environment and prior parenting time. Before the ex</w:t>
      </w:r>
    </w:p>
    <w:p>
      <w:r>
        <w:t xml:space="preserve">   parte suspension, the minor child enjoyed regular parenting time with his</w:t>
      </w:r>
    </w:p>
    <w:p>
      <w:r>
        <w:t xml:space="preserve">   father, with an established pattern of overnights and activities that created</w:t>
      </w:r>
    </w:p>
    <w:p>
      <w:r>
        <w:t xml:space="preserve">   a stable bond. The father maintains a substantial record of photos, videos,</w:t>
      </w:r>
    </w:p>
    <w:p>
      <w:r>
        <w:t xml:space="preserve">   and messages documenting normal, healthy parenting.</w:t>
      </w:r>
    </w:p>
    <w:p/>
    <w:p>
      <w:r>
        <w:t>6. Ex parte suspension and reliance on a USB recording. On or about fall 2024,</w:t>
      </w:r>
    </w:p>
    <w:p>
      <w:r>
        <w:t xml:space="preserve">   the Court granted an ex parte order suspending the father’s parenting time,</w:t>
      </w:r>
    </w:p>
    <w:p>
      <w:r>
        <w:t xml:space="preserve">   relying in part on allegations advanced by the mother and on a USB recording</w:t>
      </w:r>
    </w:p>
    <w:p>
      <w:r>
        <w:t xml:space="preserve">   involving the mother’s father, Albert Watson. The father was not provided with</w:t>
      </w:r>
    </w:p>
    <w:p>
      <w:r>
        <w:t xml:space="preserve">   a copy of the recording before the suspension entered and did not have the</w:t>
      </w:r>
    </w:p>
    <w:p>
      <w:r>
        <w:t xml:space="preserve">   opportunity to cross-examine or contextualize it at the time of the ex parte</w:t>
      </w:r>
    </w:p>
    <w:p>
      <w:r>
        <w:t xml:space="preserve">   ruling.</w:t>
      </w:r>
    </w:p>
    <w:p/>
    <w:p>
      <w:r>
        <w:t>7. Family-member involvement and testimony. The father had previously informed</w:t>
      </w:r>
    </w:p>
    <w:p>
      <w:r>
        <w:t xml:space="preserve">   the Court that he and Albert Watson had negative history, including an incident</w:t>
      </w:r>
    </w:p>
    <w:p>
      <w:r>
        <w:t xml:space="preserve">   where Albert ripped the child from his arms and threw a PPO show-cause document</w:t>
      </w:r>
    </w:p>
    <w:p>
      <w:r>
        <w:t xml:space="preserve">   through his car window during a parenting-time exchange. Despite that history,</w:t>
      </w:r>
    </w:p>
    <w:p>
      <w:r>
        <w:t xml:space="preserve">   Albert was permitted to testify about the USB recording at a later hearing and</w:t>
      </w:r>
    </w:p>
    <w:p>
      <w:r>
        <w:t xml:space="preserve">   his testimony was accepted to support continuation of the suspension.</w:t>
      </w:r>
    </w:p>
    <w:p/>
    <w:p>
      <w:r>
        <w:t>8. Statement discouraging filings. At the first hearing following the ex parte</w:t>
      </w:r>
    </w:p>
    <w:p>
      <w:r>
        <w:t xml:space="preserve">   suspension, while the order remained in place, the Court told the father on</w:t>
      </w:r>
    </w:p>
    <w:p>
      <w:r>
        <w:t xml:space="preserve">   the record words to the effect of: “Do not file any more. I will not look at</w:t>
      </w:r>
    </w:p>
    <w:p>
      <w:r>
        <w:t xml:space="preserve">   it.” The father understood this as an instruction that additional motions or</w:t>
      </w:r>
    </w:p>
    <w:p>
      <w:r>
        <w:t xml:space="preserve">   filings would not be considered, even as the mother’s filings and evidence</w:t>
      </w:r>
    </w:p>
    <w:p>
      <w:r>
        <w:t xml:space="preserve">   continued to be accepted.</w:t>
      </w:r>
    </w:p>
    <w:p/>
    <w:p>
      <w:r>
        <w:t>9. $250 filing bond as barrier. Shortly before the ex parte suspension, the Court</w:t>
      </w:r>
    </w:p>
    <w:p>
      <w:r>
        <w:t xml:space="preserve">   ordered the father to post a $250 bond as a condition for pursuing certain</w:t>
      </w:r>
    </w:p>
    <w:p>
      <w:r>
        <w:t xml:space="preserve">   relief, knowing his limited financial resources and job loss following PPO-</w:t>
      </w:r>
    </w:p>
    <w:p>
      <w:r>
        <w:t xml:space="preserve">   related jail time. In practice, this bond functioned as a barrier to his</w:t>
      </w:r>
    </w:p>
    <w:p>
      <w:r>
        <w:t xml:space="preserve">   ability to bring motions or respond fully to new accusations.</w:t>
      </w:r>
    </w:p>
    <w:p/>
    <w:p>
      <w:r>
        <w:t>10. Mental-health evaluation handling. At the Court’s direction, the father</w:t>
      </w:r>
    </w:p>
    <w:p>
      <w:r>
        <w:t xml:space="preserve">    obtained a mental-health evaluation through HealthWest. He passed that</w:t>
      </w:r>
    </w:p>
    <w:p>
      <w:r>
        <w:t>"    evaluation. Rather than being filed on the public docket, the report was</w:t>
      </w:r>
    </w:p>
    <w:p>
      <w:r>
        <w:t xml:space="preserve">    routed to chambers via the judge’s secretary. The father reports that this</w:t>
      </w:r>
    </w:p>
    <w:p>
      <w:r>
        <w:t xml:space="preserve">    favorable evaluation did not appear in the case file and was not discussed on</w:t>
      </w:r>
    </w:p>
    <w:p>
      <w:r>
        <w:t xml:space="preserve">    the record as part of the Court’s analysis of endangerment or parenting time.</w:t>
      </w:r>
    </w:p>
    <w:p/>
    <w:p>
      <w:r>
        <w:t>11. Emergence of a “second” evaluation. At a later hearing, the Court referred to</w:t>
      </w:r>
    </w:p>
    <w:p>
      <w:r>
        <w:t xml:space="preserve">    what was described as a second mental-health evaluation, which the father</w:t>
      </w:r>
    </w:p>
    <w:p>
      <w:r>
        <w:t xml:space="preserve">    states he never underwent and never received. When he disputed the existence</w:t>
      </w:r>
    </w:p>
    <w:p>
      <w:r>
        <w:t xml:space="preserve">    or contents of this purported evaluation, he felt he was treated as if he were</w:t>
      </w:r>
    </w:p>
    <w:p>
      <w:r>
        <w:t xml:space="preserve">    “crazy” or dishonest, without any transparent explanation of the document’s</w:t>
      </w:r>
    </w:p>
    <w:p>
      <w:r>
        <w:t xml:space="preserve">    origin or availability.</w:t>
      </w:r>
    </w:p>
    <w:p/>
    <w:p>
      <w:r>
        <w:t>12. Repeated continuances while suspension remains in effect. Hearings set to</w:t>
      </w:r>
    </w:p>
    <w:p>
      <w:r>
        <w:t xml:space="preserve">    address the ex parte suspension were continued multiple times. Each time, the</w:t>
      </w:r>
    </w:p>
    <w:p>
      <w:r>
        <w:t xml:space="preserve">    suspension remained in effect, resulting in months of total loss of contact,</w:t>
      </w:r>
    </w:p>
    <w:p>
      <w:r>
        <w:t xml:space="preserve">    including the child’s third birthday, Halloween, and approaching holidays,</w:t>
      </w:r>
    </w:p>
    <w:p>
      <w:r>
        <w:t xml:space="preserve">    without a completed evidentiary hearing and without detailed written findings.</w:t>
      </w:r>
    </w:p>
    <w:p/>
    <w:p>
      <w:r>
        <w:t>13. Refusal to hear exculpatory evidence. At these hearings, the father brought</w:t>
      </w:r>
    </w:p>
    <w:p>
      <w:r>
        <w:t xml:space="preserve">    organized, labeled exhibits—including photographs from his parenting time and</w:t>
      </w:r>
    </w:p>
    <w:p>
      <w:r>
        <w:t xml:space="preserve">    messages showing cooperative, child-focused communication—to demonstrate that</w:t>
      </w:r>
    </w:p>
    <w:p>
      <w:r>
        <w:t xml:space="preserve">    Lincoln was safe and thriving in his care. According to the father, the Court</w:t>
      </w:r>
    </w:p>
    <w:p>
      <w:r>
        <w:t xml:space="preserve">    repeatedly declined to admit or meaningfully review these materials, while</w:t>
      </w:r>
    </w:p>
    <w:p>
      <w:r>
        <w:t xml:space="preserve">    continuing to credit the mother’s allegations and her family’s testimony.</w:t>
      </w:r>
    </w:p>
    <w:p/>
    <w:p>
      <w:r>
        <w:t>14. Combined effect. The father has now been wholly cut off from his son for</w:t>
      </w:r>
    </w:p>
    <w:p>
      <w:r>
        <w:t xml:space="preserve">    approximately four months, with no direct evidence that his parenting time</w:t>
      </w:r>
    </w:p>
    <w:p>
      <w:r>
        <w:t xml:space="preserve">    poses a danger, and with ongoing barriers to presenting his own exculpatory</w:t>
      </w:r>
    </w:p>
    <w:p>
      <w:r>
        <w:t xml:space="preserve">    evidence or even having his favorable evaluation openly considered on the</w:t>
      </w:r>
    </w:p>
    <w:p>
      <w:r>
        <w:t xml:space="preserve">    record.</w:t>
      </w:r>
    </w:p>
    <w:p/>
    <w:p>
      <w:r>
        <w:t>IV. CANON AND DUE-PROCESS THEMES</w:t>
      </w:r>
    </w:p>
    <w:p>
      <w:r>
        <w:t>15. Fairness to self-represented litigant. A judge has an obligation to ensure a</w:t>
      </w:r>
    </w:p>
    <w:p>
      <w:r>
        <w:t xml:space="preserve">    fair process for all parties, including those who are self-represented. Telling</w:t>
      </w:r>
    </w:p>
    <w:p>
      <w:r>
        <w:t xml:space="preserve">    a self-represented parent in an ongoing custody/parenting-time matter not to</w:t>
      </w:r>
    </w:p>
    <w:p>
      <w:r>
        <w:t xml:space="preserve">    file anything further, while repeatedly accepting filings and ex parte evidence</w:t>
      </w:r>
    </w:p>
    <w:p>
      <w:r>
        <w:t xml:space="preserve">    from the opposing party, raises concerns about equal treatment and access to</w:t>
      </w:r>
    </w:p>
    <w:p>
      <w:r>
        <w:t xml:space="preserve">    the court.</w:t>
      </w:r>
    </w:p>
    <w:p/>
    <w:p>
      <w:r>
        <w:t>16. Transparency in reliance on evidence. Directing that a favorable mental-health</w:t>
      </w:r>
    </w:p>
    <w:p>
      <w:r>
        <w:t xml:space="preserve">    evaluation be handled off the public record, then appearing to rely instead on</w:t>
      </w:r>
    </w:p>
    <w:p>
      <w:r>
        <w:t xml:space="preserve">    a different evaluation the parent denies taking, risks undermining confidence</w:t>
      </w:r>
    </w:p>
    <w:p>
      <w:r>
        <w:t xml:space="preserve">    in the transparency and regularity of the proceedings. Parents should be able</w:t>
      </w:r>
    </w:p>
    <w:p>
      <w:r>
        <w:t xml:space="preserve">    to see and respond to the evidence used to suspend their parenting time.</w:t>
      </w:r>
    </w:p>
    <w:p/>
    <w:p>
      <w:r>
        <w:t>17. Prolonged ex parte impact. Ex parte orders are meant to be temporary and</w:t>
      </w:r>
    </w:p>
    <w:p>
      <w:r>
        <w:t xml:space="preserve">    followed by prompt hearings. Here, repeated continuances allowed an ex parte</w:t>
      </w:r>
    </w:p>
    <w:p>
      <w:r>
        <w:t xml:space="preserve">    suspension to operate as an ongoing, de facto change in the established</w:t>
      </w:r>
    </w:p>
    <w:p>
      <w:r>
        <w:t xml:space="preserve">    custodial environment, without the full, factor-by-factor analysis and clear-</w:t>
      </w:r>
    </w:p>
    <w:p>
      <w:r>
        <w:t xml:space="preserve">    and-convincing evidentiary standard that would ordinarily apply.</w:t>
      </w:r>
    </w:p>
    <w:p/>
    <w:p>
      <w:r>
        <w:t>18. Appearance of partiality. Allowing extensive participation and testimony from</w:t>
      </w:r>
    </w:p>
    <w:p>
      <w:r>
        <w:t xml:space="preserve">    the mother’s family, despite prior conflict and threats (including a recorded</w:t>
      </w:r>
    </w:p>
    <w:p>
      <w:r>
        <w:t xml:space="preserve">    statement that the father would not see his son and a physical confrontation</w:t>
      </w:r>
    </w:p>
    <w:p>
      <w:r>
        <w:t xml:space="preserve">    at an exchange), while foreclosing the father’s attempts to submit exhibits,</w:t>
      </w:r>
    </w:p>
    <w:p>
      <w:r>
        <w:t xml:space="preserve">    may create the appearance that one side is being favored. The concern is not</w:t>
      </w:r>
    </w:p>
    <w:p>
      <w:r>
        <w:t xml:space="preserve">    a single ruling in isolation but the pattern that emerges over time.</w:t>
      </w:r>
    </w:p>
    <w:p/>
    <w:p>
      <w:r>
        <w:t>19. Impact on confidence in the courts. Fundamental decisions about a child’s</w:t>
      </w:r>
    </w:p>
    <w:p>
      <w:r>
        <w:t xml:space="preserve">    relationship with a parent must be made through procedures that are not only</w:t>
      </w:r>
    </w:p>
    <w:p>
      <w:r>
        <w:t xml:space="preserve">    fair but clearly seen to be fair. When a parent perceives that he is barred</w:t>
      </w:r>
    </w:p>
    <w:p>
      <w:r>
        <w:t xml:space="preserve">    from filing, that favorable evaluations are hidden, and that he is portrayed</w:t>
      </w:r>
    </w:p>
    <w:p>
      <w:r>
        <w:t xml:space="preserve">    as unstable for challenging a document he has never seen, public confidence in</w:t>
      </w:r>
    </w:p>
    <w:p>
      <w:r>
        <w:t xml:space="preserve">    the judiciary is at risk.</w:t>
      </w:r>
    </w:p>
    <w:p/>
    <w:p>
      <w:r>
        <w:t>V. REQUESTED REVIEW (TEMPLATE)</w:t>
      </w:r>
    </w:p>
    <w:p>
      <w:r>
        <w:t>20. A final JTC complaint based on this framework would respectfully ask the</w:t>
      </w:r>
    </w:p>
    <w:p>
      <w:r>
        <w:t xml:space="preserve">    Commission to review whether the cumulative handling of this case complies</w:t>
      </w:r>
    </w:p>
    <w:p>
      <w:r>
        <w:t xml:space="preserve">    with the Michigan judicial canons and with the structural due-process</w:t>
      </w:r>
    </w:p>
    <w:p>
      <w:r>
        <w:t xml:space="preserve">    expectations that apply when fundamental parental rights are at stake.</w:t>
      </w:r>
    </w:p>
    <w:p/>
    <w:p>
      <w:r>
        <w:t>21. The father recognizes that judges must make difficult decisions in emotionally</w:t>
      </w:r>
    </w:p>
    <w:p>
      <w:r>
        <w:t xml:space="preserve">    charged custody cases. His concern is not simply that he disagrees with a</w:t>
      </w:r>
    </w:p>
    <w:p>
      <w:r>
        <w:t xml:space="preserve">    ruling, but that the process itself—off-record evaluations, one-sided use of</w:t>
      </w:r>
    </w:p>
    <w:p>
      <w:r>
        <w:t xml:space="preserve">    ex parte material, discouraging filings, and repeated continuances of an ex</w:t>
      </w:r>
    </w:p>
    <w:p>
      <w:r>
        <w:t xml:space="preserve">    parte suspension—has departed from the standards that should govern such a</w:t>
      </w:r>
    </w:p>
    <w:p>
      <w:r>
        <w:t xml:space="preserve">    serious intrusion into the parent–child relationship.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