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9" w:name="pigors-v.-watson-litigation-narratives"/>
    <w:p>
      <w:pPr>
        <w:pStyle w:val="Heading1"/>
      </w:pPr>
      <w:r>
        <w:t xml:space="preserve">Pigors v. Watson – Litigation Narratives</w:t>
      </w:r>
    </w:p>
    <w:p>
      <w:pPr>
        <w:pStyle w:val="FirstParagraph"/>
      </w:pPr>
      <w:r>
        <w:t xml:space="preserve">The following three narratives synthesize the key facts, violations, and harms in</w:t>
      </w:r>
      <w:r>
        <w:t xml:space="preserve"> </w:t>
      </w:r>
      <w:r>
        <w:rPr>
          <w:b/>
          <w:bCs/>
        </w:rPr>
        <w:t xml:space="preserve">Pigors v. Watson</w:t>
      </w:r>
      <w:r>
        <w:t xml:space="preserve"> </w:t>
      </w:r>
      <w:r>
        <w:t xml:space="preserve">(14th Cir. Ct., Muskegon), focusing respectively on judicial-ethics (JTC), appellate, and civil-rights perspectives. Each is anchored to evidence from case filings and applicable Michigan law (MCR, MCL, Code of Judicial Conduct) with direct citations.</w:t>
      </w:r>
    </w:p>
    <w:bookmarkStart w:id="23" w:name="delta999-jtc-version-judicial-misconduct"/>
    <w:p>
      <w:pPr>
        <w:pStyle w:val="Heading2"/>
      </w:pPr>
      <w:r>
        <w:t xml:space="preserve">Delta999-JTC Version (Judicial Misconduct)</w:t>
      </w:r>
    </w:p>
    <w:p>
      <w:pPr>
        <w:numPr>
          <w:ilvl w:val="0"/>
          <w:numId w:val="1001"/>
        </w:numPr>
      </w:pPr>
      <w:r>
        <w:rPr>
          <w:b/>
          <w:bCs/>
        </w:rPr>
        <w:t xml:space="preserve">Improper Ex Parte Order (8/8/2025):</w:t>
      </w:r>
      <w:r>
        <w:t xml:space="preserve"> </w:t>
      </w:r>
      <w:r>
        <w:t xml:space="preserve">Judge McNeill granted Emily’s emergency motion to suspend Father’s parenting time with</w:t>
      </w:r>
      <w:r>
        <w:t xml:space="preserve"> </w:t>
      </w:r>
      <w:r>
        <w:rPr>
          <w:i/>
          <w:iCs/>
        </w:rPr>
        <w:t xml:space="preserve">no sworn affidavit</w:t>
      </w:r>
      <w:r>
        <w:t xml:space="preserve">, no finding of immediate harm, and</w:t>
      </w:r>
      <w:r>
        <w:t xml:space="preserve"> </w:t>
      </w:r>
      <w:r>
        <w:rPr>
          <w:i/>
          <w:iCs/>
        </w:rPr>
        <w:t xml:space="preserve">no hearing</w:t>
      </w:r>
      <w:r>
        <w:t xml:space="preserve">. The motion itself “referred only to past minor issues and were not verified or urgent, yet the court granted relief without a hearing”</w:t>
      </w:r>
      <w:hyperlink r:id="rId21">
        <w:r>
          <w:rPr>
            <w:rStyle w:val="Hyperlink"/>
          </w:rPr>
          <w:t xml:space="preserve">[1]</w:t>
        </w:r>
      </w:hyperlink>
      <w:r>
        <w:t xml:space="preserve">. This bypassed MCR 3.207(B)(1) and the Child Custody Act’s clear‐and‐convincing standard (MCL 722.27a) for restricting parenting time. Canon 3(A)(1) (be faithful to the law) and Canon 2(B) (equal treatment) were violated when the judge “issued this drastic order without a lawful basis or hearing,” denying the fairness owed to both parties</w:t>
      </w:r>
      <w:hyperlink r:id="rId21">
        <w:r>
          <w:rPr>
            <w:rStyle w:val="Hyperlink"/>
          </w:rPr>
          <w:t xml:space="preserve">[2]</w:t>
        </w:r>
      </w:hyperlink>
      <w:r>
        <w:t xml:space="preserve">. The underlying ex parte order itself acknowledges</w:t>
      </w:r>
      <w:r>
        <w:t xml:space="preserve"> </w:t>
      </w:r>
      <w:r>
        <w:rPr>
          <w:i/>
          <w:iCs/>
        </w:rPr>
        <w:t xml:space="preserve">“lack of specific evidence of harm”</w:t>
      </w:r>
      <w:hyperlink r:id="rId22">
        <w:r>
          <w:rPr>
            <w:rStyle w:val="Hyperlink"/>
          </w:rPr>
          <w:t xml:space="preserve">[3]</w:t>
        </w:r>
      </w:hyperlink>
      <w:r>
        <w:t xml:space="preserve">, confirming the ruling was unfounded.</w:t>
      </w:r>
    </w:p>
    <w:p>
      <w:pPr>
        <w:numPr>
          <w:ilvl w:val="0"/>
          <w:numId w:val="1001"/>
        </w:numPr>
      </w:pPr>
      <w:r>
        <w:rPr>
          <w:b/>
          <w:bCs/>
        </w:rPr>
        <w:t xml:space="preserve">No Notice or Hearing (8/8–8/28/2025):</w:t>
      </w:r>
      <w:r>
        <w:t xml:space="preserve"> </w:t>
      </w:r>
      <w:r>
        <w:t xml:space="preserve">Mr. Pigors first learned of the suspension only when he arrived for an August 8 exchange and found</w:t>
      </w:r>
      <w:r>
        <w:t xml:space="preserve"> </w:t>
      </w:r>
      <w:r>
        <w:rPr>
          <w:b/>
          <w:bCs/>
        </w:rPr>
        <w:t xml:space="preserve">no child present</w:t>
      </w:r>
      <w:hyperlink r:id="rId21">
        <w:r>
          <w:rPr>
            <w:rStyle w:val="Hyperlink"/>
          </w:rPr>
          <w:t xml:space="preserve">[4]</w:t>
        </w:r>
      </w:hyperlink>
      <w:r>
        <w:t xml:space="preserve">. Neither Emily’s motion nor the ex parte order were served on him in advance, depriving him of</w:t>
      </w:r>
      <w:r>
        <w:t xml:space="preserve"> </w:t>
      </w:r>
      <w:r>
        <w:rPr>
          <w:i/>
          <w:iCs/>
        </w:rPr>
        <w:t xml:space="preserve">any</w:t>
      </w:r>
      <w:r>
        <w:t xml:space="preserve"> </w:t>
      </w:r>
      <w:r>
        <w:t xml:space="preserve">opportunity to be heard. This “procedural ambush” denied basic due process. Canon 2(A) (avoid appearance of impropriety) and 3(A)(1) (duty to respect the law) were breached by proceeding</w:t>
      </w:r>
      <w:r>
        <w:t xml:space="preserve"> </w:t>
      </w:r>
      <w:r>
        <w:rPr>
          <w:i/>
          <w:iCs/>
        </w:rPr>
        <w:t xml:space="preserve">“without ensuring [Mr. Pigors] had notice,”</w:t>
      </w:r>
      <w:r>
        <w:t xml:space="preserve"> </w:t>
      </w:r>
      <w:r>
        <w:t xml:space="preserve">creating a serious appearance of bias</w:t>
      </w:r>
      <w:hyperlink r:id="rId21">
        <w:r>
          <w:rPr>
            <w:rStyle w:val="Hyperlink"/>
          </w:rPr>
          <w:t xml:space="preserve">[4]</w:t>
        </w:r>
      </w:hyperlink>
      <w:r>
        <w:t xml:space="preserve">.</w:t>
      </w:r>
    </w:p>
    <w:p>
      <w:pPr>
        <w:numPr>
          <w:ilvl w:val="0"/>
          <w:numId w:val="1001"/>
        </w:numPr>
      </w:pPr>
      <w:r>
        <w:rPr>
          <w:b/>
          <w:bCs/>
        </w:rPr>
        <w:t xml:space="preserve">One‐Sided Evidentiary Process (8/28/2025):</w:t>
      </w:r>
      <w:r>
        <w:t xml:space="preserve"> </w:t>
      </w:r>
      <w:r>
        <w:t xml:space="preserve">At the interim hearing on the ex parte order, Judge McNeill refused to consider Father’s direct evidence while crediting unverified hearsay. When Mr. Pigors attempted to show photos of the child safe and content on July 29, the judge snapped</w:t>
      </w:r>
      <w:r>
        <w:t xml:space="preserve"> </w:t>
      </w:r>
      <w:r>
        <w:rPr>
          <w:b/>
          <w:bCs/>
        </w:rPr>
        <w:t xml:space="preserve">“I would not look”</w:t>
      </w:r>
      <w:r>
        <w:t xml:space="preserve"> </w:t>
      </w:r>
      <w:r>
        <w:t xml:space="preserve">at them</w:t>
      </w:r>
      <w:hyperlink r:id="rId21">
        <w:r>
          <w:rPr>
            <w:rStyle w:val="Hyperlink"/>
          </w:rPr>
          <w:t xml:space="preserve">[5]</w:t>
        </w:r>
      </w:hyperlink>
      <w:r>
        <w:t xml:space="preserve">. By contrast, she welcomed Watson’s recollections of vague statements by the child – even remarking</w:t>
      </w:r>
      <w:r>
        <w:t xml:space="preserve"> </w:t>
      </w:r>
      <w:r>
        <w:rPr>
          <w:b/>
          <w:bCs/>
        </w:rPr>
        <w:t xml:space="preserve">“I’m very concerned by what I’ve heard”</w:t>
      </w:r>
      <w:r>
        <w:t xml:space="preserve"> </w:t>
      </w:r>
      <w:r>
        <w:t xml:space="preserve">– despite no witness or recorded testimony</w:t>
      </w:r>
      <w:hyperlink r:id="rId21">
        <w:r>
          <w:rPr>
            <w:rStyle w:val="Hyperlink"/>
          </w:rPr>
          <w:t xml:space="preserve">[6]</w:t>
        </w:r>
      </w:hyperlink>
      <w:r>
        <w:t xml:space="preserve">. This disparate treatment signals clear</w:t>
      </w:r>
      <w:r>
        <w:t xml:space="preserve"> </w:t>
      </w:r>
      <w:r>
        <w:rPr>
          <w:b/>
          <w:bCs/>
        </w:rPr>
        <w:t xml:space="preserve">bias</w:t>
      </w:r>
      <w:r>
        <w:t xml:space="preserve"> </w:t>
      </w:r>
      <w:r>
        <w:t xml:space="preserve">(Canon 2(B)) and violates the judge’s duty of impartiality.</w:t>
      </w:r>
    </w:p>
    <w:p>
      <w:pPr>
        <w:numPr>
          <w:ilvl w:val="0"/>
          <w:numId w:val="1001"/>
        </w:numPr>
      </w:pPr>
      <w:r>
        <w:rPr>
          <w:b/>
          <w:bCs/>
        </w:rPr>
        <w:t xml:space="preserve">Off‐Record Evidence (Aug–Sept 2025):</w:t>
      </w:r>
      <w:r>
        <w:t xml:space="preserve"> </w:t>
      </w:r>
      <w:r>
        <w:t xml:space="preserve">The court engaged in</w:t>
      </w:r>
      <w:r>
        <w:t xml:space="preserve"> </w:t>
      </w:r>
      <w:r>
        <w:rPr>
          <w:i/>
          <w:iCs/>
        </w:rPr>
        <w:t xml:space="preserve">ex parte</w:t>
      </w:r>
      <w:r>
        <w:t xml:space="preserve"> </w:t>
      </w:r>
      <w:r>
        <w:t xml:space="preserve">handling of evidence. Judge McNeill’s staff privately reviewed an unfiled audio recording of a phone call (on USB)</w:t>
      </w:r>
      <w:r>
        <w:t xml:space="preserve"> </w:t>
      </w:r>
      <w:r>
        <w:rPr>
          <w:b/>
          <w:bCs/>
        </w:rPr>
        <w:t xml:space="preserve">outside</w:t>
      </w:r>
      <w:r>
        <w:t xml:space="preserve"> </w:t>
      </w:r>
      <w:r>
        <w:t xml:space="preserve">the parties’ presence, and the judge later relied on it to maintain the suspension</w:t>
      </w:r>
      <w:hyperlink r:id="rId21">
        <w:r>
          <w:rPr>
            <w:rStyle w:val="Hyperlink"/>
          </w:rPr>
          <w:t xml:space="preserve">[7]</w:t>
        </w:r>
      </w:hyperlink>
      <w:r>
        <w:t xml:space="preserve">. Similarly, she instructed Mr. Pigors to email his</w:t>
      </w:r>
      <w:r>
        <w:t xml:space="preserve"> </w:t>
      </w:r>
      <w:r>
        <w:rPr>
          <w:b/>
          <w:bCs/>
        </w:rPr>
        <w:t xml:space="preserve">HealthWest</w:t>
      </w:r>
      <w:r>
        <w:t xml:space="preserve"> </w:t>
      </w:r>
      <w:r>
        <w:t xml:space="preserve">psychological report directly to chambers (bypassing the clerk), so the evaluation never appeared on the official docket</w:t>
      </w:r>
      <w:hyperlink r:id="rId21">
        <w:r>
          <w:rPr>
            <w:rStyle w:val="Hyperlink"/>
          </w:rPr>
          <w:t xml:space="preserve">[8]</w:t>
        </w:r>
      </w:hyperlink>
      <w:r>
        <w:t xml:space="preserve">. Both actions violated Canon 3(A)(5) (no off-record communications about a case) and MCR 2.107(G) (documents must be served on all parties). As the timeline notes, this “extraordinary back-channel submission” of evidence “violated Michigan’s filing rules” and “violates the appearance of propriety and raise[d] due process concerns”</w:t>
      </w:r>
      <w:hyperlink r:id="rId21">
        <w:r>
          <w:rPr>
            <w:rStyle w:val="Hyperlink"/>
          </w:rPr>
          <w:t xml:space="preserve">[8]</w:t>
        </w:r>
      </w:hyperlink>
      <w:r>
        <w:t xml:space="preserve">.</w:t>
      </w:r>
    </w:p>
    <w:p>
      <w:pPr>
        <w:numPr>
          <w:ilvl w:val="0"/>
          <w:numId w:val="1001"/>
        </w:numPr>
      </w:pPr>
      <w:r>
        <w:rPr>
          <w:b/>
          <w:bCs/>
        </w:rPr>
        <w:t xml:space="preserve">No Findings or Prompt Hearing (Sept–Oct 2025):</w:t>
      </w:r>
      <w:r>
        <w:t xml:space="preserve"> </w:t>
      </w:r>
      <w:r>
        <w:t xml:space="preserve">Even after Mr. Pigors objected and complied with directives (e.g. undergoing evaluation), Judge McNeill continued the suspension by written order on Sept. 9, 2025</w:t>
      </w:r>
      <w:r>
        <w:t xml:space="preserve"> </w:t>
      </w:r>
      <w:r>
        <w:rPr>
          <w:i/>
          <w:iCs/>
        </w:rPr>
        <w:t xml:space="preserve">without</w:t>
      </w:r>
      <w:r>
        <w:t xml:space="preserve"> </w:t>
      </w:r>
      <w:r>
        <w:t xml:space="preserve">any full evidentiary hearing or factual findings on the record</w:t>
      </w:r>
      <w:hyperlink r:id="rId21">
        <w:r>
          <w:rPr>
            <w:rStyle w:val="Hyperlink"/>
          </w:rPr>
          <w:t xml:space="preserve">[9]</w:t>
        </w:r>
      </w:hyperlink>
      <w:hyperlink r:id="rId21">
        <w:r>
          <w:rPr>
            <w:rStyle w:val="Hyperlink"/>
          </w:rPr>
          <w:t xml:space="preserve">[10]</w:t>
        </w:r>
      </w:hyperlink>
      <w:r>
        <w:t xml:space="preserve">. The order imposed an indefinite ban “until further order” while conceding it lacked the “clear and convincing” evidence required to suspend parenting time. This defies MCL 722.27a(3) and MCR 3.207(B)(5), which mandate prompt hearings and findings. Canon 3(A)(1) (faithful to law) and 2(B) (observe law) were breached by issuing a result‐determined order with no evidentiary basis</w:t>
      </w:r>
      <w:hyperlink r:id="rId21">
        <w:r>
          <w:rPr>
            <w:rStyle w:val="Hyperlink"/>
          </w:rPr>
          <w:t xml:space="preserve">[10]</w:t>
        </w:r>
      </w:hyperlink>
      <w:r>
        <w:t xml:space="preserve">.</w:t>
      </w:r>
    </w:p>
    <w:p>
      <w:pPr>
        <w:numPr>
          <w:ilvl w:val="0"/>
          <w:numId w:val="1001"/>
        </w:numPr>
      </w:pPr>
      <w:r>
        <w:rPr>
          <w:b/>
          <w:bCs/>
        </w:rPr>
        <w:t xml:space="preserve">Cumulative Harms and Improprieties:</w:t>
      </w:r>
      <w:r>
        <w:t xml:space="preserve"> </w:t>
      </w:r>
      <w:r>
        <w:t xml:space="preserve">By mid-September, Mr. Pigors had missed</w:t>
      </w:r>
      <w:r>
        <w:t xml:space="preserve"> </w:t>
      </w:r>
      <w:r>
        <w:rPr>
          <w:b/>
          <w:bCs/>
        </w:rPr>
        <w:t xml:space="preserve">five parenting blocks</w:t>
      </w:r>
      <w:r>
        <w:t xml:space="preserve"> </w:t>
      </w:r>
      <w:r>
        <w:t xml:space="preserve">(over 20 scheduled days, roughly 50+ days total) due to the court’s restrictions</w:t>
      </w:r>
      <w:hyperlink r:id="rId21">
        <w:r>
          <w:rPr>
            <w:rStyle w:val="Hyperlink"/>
          </w:rPr>
          <w:t xml:space="preserve">[11]</w:t>
        </w:r>
      </w:hyperlink>
      <w:r>
        <w:t xml:space="preserve">. This protracted separation inflicted “severe emotional distress” on father and child</w:t>
      </w:r>
      <w:hyperlink r:id="rId21">
        <w:r>
          <w:rPr>
            <w:rStyle w:val="Hyperlink"/>
          </w:rPr>
          <w:t xml:space="preserve">[12]</w:t>
        </w:r>
      </w:hyperlink>
      <w:r>
        <w:t xml:space="preserve"> </w:t>
      </w:r>
      <w:r>
        <w:t xml:space="preserve">and “disrupted the child’s stability and routine.” Michigan law guarantees makeup time for such deprivation (MCL 722.27a(9)–(11)), yet the court took no remedial action. Canon 3(A)(6) (diligence) was flouted by delaying the necessary evidentiary hearing until Oct. 29, 2025 (nearly 90 days after the ex parte order), prolonging the harm. A reasonable observer would see this pattern as prejudgment (Canon 2(B)) and neglect of duty (Canon 1, 2(A)), as the judge “simply stalling the proceedings while the mother maintained sole possession of the child”</w:t>
      </w:r>
      <w:hyperlink r:id="rId21">
        <w:r>
          <w:rPr>
            <w:rStyle w:val="Hyperlink"/>
          </w:rPr>
          <w:t xml:space="preserve">[13]</w:t>
        </w:r>
      </w:hyperlink>
      <w:r>
        <w:t xml:space="preserve">.</w:t>
      </w:r>
    </w:p>
    <w:p>
      <w:pPr>
        <w:pStyle w:val="FirstParagraph"/>
      </w:pPr>
      <w:r>
        <w:rPr>
          <w:b/>
          <w:bCs/>
        </w:rPr>
        <w:t xml:space="preserve">Summary:</w:t>
      </w:r>
      <w:r>
        <w:t xml:space="preserve"> </w:t>
      </w:r>
      <w:r>
        <w:t xml:space="preserve">Judge McNeill’s actions – granting emergency relief on unsworn allegations, refusing father’s evidence, considering secret materials, and ordering Father detained from his child without due process – violate multiple Canons (notably 2(A),(B), 3(A)(1),(5),(6)) and statutory rules (MCR 3.207, 2.003, MCL 722.27a). The foremost adverse statements and omissions include the judge’s dismissal of Father’s proofs (“would not look” at photos) and embrace of untested hearsay (“I’m very concerned by what I’ve heard”)</w:t>
      </w:r>
      <w:hyperlink r:id="rId21">
        <w:r>
          <w:rPr>
            <w:rStyle w:val="Hyperlink"/>
          </w:rPr>
          <w:t xml:space="preserve">[5]</w:t>
        </w:r>
      </w:hyperlink>
      <w:r>
        <w:t xml:space="preserve">. These breaches of judicial ethics, documented above, warrant formal remedial action (JTC complaint, sanctions, or reassignment) to protect the integrity of the court.</w:t>
      </w:r>
    </w:p>
    <w:bookmarkEnd w:id="23"/>
    <w:bookmarkStart w:id="27" w:name="X7e55e025f8871029a97c53f7ae524358d7e2621"/>
    <w:p>
      <w:pPr>
        <w:pStyle w:val="Heading2"/>
      </w:pPr>
      <w:r>
        <w:t xml:space="preserve">Delta999-Appellate Version (Court of Appeals)</w:t>
      </w:r>
    </w:p>
    <w:p>
      <w:pPr>
        <w:numPr>
          <w:ilvl w:val="0"/>
          <w:numId w:val="1002"/>
        </w:numPr>
      </w:pPr>
      <w:r>
        <w:rPr>
          <w:b/>
          <w:bCs/>
        </w:rPr>
        <w:t xml:space="preserve">Ex Parte Suspension Without Basis:</w:t>
      </w:r>
      <w:r>
        <w:t xml:space="preserve"> </w:t>
      </w:r>
      <w:r>
        <w:t xml:space="preserve">On Aug. 8, 2025, the trial court issued an emergency ex parte order halting Mr. Pigors’s parenting time</w:t>
      </w:r>
      <w:r>
        <w:t xml:space="preserve"> </w:t>
      </w:r>
      <w:r>
        <w:rPr>
          <w:b/>
          <w:bCs/>
        </w:rPr>
        <w:t xml:space="preserve">immediately</w:t>
      </w:r>
      <w:hyperlink r:id="rId22">
        <w:r>
          <w:rPr>
            <w:rStyle w:val="Hyperlink"/>
          </w:rPr>
          <w:t xml:space="preserve">[14]</w:t>
        </w:r>
      </w:hyperlink>
      <w:r>
        <w:t xml:space="preserve">. This was done on Defendant’s affidavit-free motion, citing no</w:t>
      </w:r>
      <w:r>
        <w:t xml:space="preserve"> </w:t>
      </w:r>
      <w:r>
        <w:rPr>
          <w:i/>
          <w:iCs/>
        </w:rPr>
        <w:t xml:space="preserve">“immediate and irreparable injury”</w:t>
      </w:r>
      <w:r>
        <w:t xml:space="preserve"> </w:t>
      </w:r>
      <w:r>
        <w:t xml:space="preserve">as required by MCR 3.207(B)(1). The order itself notes the court was</w:t>
      </w:r>
      <w:r>
        <w:t xml:space="preserve"> </w:t>
      </w:r>
      <w:r>
        <w:rPr>
          <w:b/>
          <w:bCs/>
        </w:rPr>
        <w:t xml:space="preserve">“not satisfied by specific facts”</w:t>
      </w:r>
      <w:r>
        <w:t xml:space="preserve"> </w:t>
      </w:r>
      <w:r>
        <w:t xml:space="preserve">showing irreparable harm</w:t>
      </w:r>
      <w:hyperlink r:id="rId22">
        <w:r>
          <w:rPr>
            <w:rStyle w:val="Hyperlink"/>
          </w:rPr>
          <w:t xml:space="preserve">[15]</w:t>
        </w:r>
      </w:hyperlink>
      <w:r>
        <w:t xml:space="preserve">. By granting the drastic custody change without the statutorily required sworn allegations or evidentiary support, the court “undermined due process”</w:t>
      </w:r>
      <w:hyperlink r:id="rId21">
        <w:r>
          <w:rPr>
            <w:rStyle w:val="Hyperlink"/>
          </w:rPr>
          <w:t xml:space="preserve">[1]</w:t>
        </w:r>
      </w:hyperlink>
      <w:hyperlink r:id="rId22">
        <w:r>
          <w:rPr>
            <w:rStyle w:val="Hyperlink"/>
          </w:rPr>
          <w:t xml:space="preserve">[14]</w:t>
        </w:r>
      </w:hyperlink>
      <w:r>
        <w:t xml:space="preserve">. On appeal, this is reversible error: an ex parte parenting-time change absent clear‐and‐convincing evidence and an affidavit is ultra vires (MCL 722.27a; MCR 3.207) and violates the Child Custody Act’s statutory scheme</w:t>
      </w:r>
      <w:hyperlink r:id="rId21">
        <w:r>
          <w:rPr>
            <w:rStyle w:val="Hyperlink"/>
          </w:rPr>
          <w:t xml:space="preserve">[1]</w:t>
        </w:r>
      </w:hyperlink>
      <w:hyperlink r:id="rId24">
        <w:r>
          <w:rPr>
            <w:rStyle w:val="Hyperlink"/>
          </w:rPr>
          <w:t xml:space="preserve">[16]</w:t>
        </w:r>
      </w:hyperlink>
      <w:r>
        <w:t xml:space="preserve">.</w:t>
      </w:r>
    </w:p>
    <w:p>
      <w:pPr>
        <w:numPr>
          <w:ilvl w:val="0"/>
          <w:numId w:val="1002"/>
        </w:numPr>
      </w:pPr>
      <w:r>
        <w:rPr>
          <w:b/>
          <w:bCs/>
        </w:rPr>
        <w:t xml:space="preserve">Denial of Notice and Hearing:</w:t>
      </w:r>
      <w:r>
        <w:t xml:space="preserve"> </w:t>
      </w:r>
      <w:r>
        <w:t xml:space="preserve">Emily never served Mr. Pigors with the emergency motion or order. He only discovered the suspension by arriving for a scheduled exchange and finding</w:t>
      </w:r>
      <w:r>
        <w:t xml:space="preserve"> </w:t>
      </w:r>
      <w:r>
        <w:rPr>
          <w:i/>
          <w:iCs/>
        </w:rPr>
        <w:t xml:space="preserve">“no child present”</w:t>
      </w:r>
      <w:hyperlink r:id="rId21">
        <w:r>
          <w:rPr>
            <w:rStyle w:val="Hyperlink"/>
          </w:rPr>
          <w:t xml:space="preserve">[4]</w:t>
        </w:r>
      </w:hyperlink>
      <w:r>
        <w:t xml:space="preserve">. Nor was a prompt evidentiary hearing held: the 14-day deadline lapsed on Aug. 17, 2025, with no hearing (the parties waited until Sept. 4)</w:t>
      </w:r>
      <w:hyperlink r:id="rId22">
        <w:r>
          <w:rPr>
            <w:rStyle w:val="Hyperlink"/>
          </w:rPr>
          <w:t xml:space="preserve">[17]</w:t>
        </w:r>
      </w:hyperlink>
      <w:r>
        <w:t xml:space="preserve">. This egregiously violated MCR 3.207(B)(5) and Ford v. Ford (401 Mich. 300) standards, which require immediate notice and hearing in custody emergencies. The appellate record shows no signed findings of immediate danger or due process waiver, so the ex parte suspension must be vacated for lack of notice and hearing</w:t>
      </w:r>
      <w:hyperlink r:id="rId21">
        <w:r>
          <w:rPr>
            <w:rStyle w:val="Hyperlink"/>
          </w:rPr>
          <w:t xml:space="preserve">[4]</w:t>
        </w:r>
      </w:hyperlink>
      <w:hyperlink r:id="rId22">
        <w:r>
          <w:rPr>
            <w:rStyle w:val="Hyperlink"/>
          </w:rPr>
          <w:t xml:space="preserve">[18]</w:t>
        </w:r>
      </w:hyperlink>
      <w:r>
        <w:t xml:space="preserve">.</w:t>
      </w:r>
    </w:p>
    <w:p>
      <w:pPr>
        <w:numPr>
          <w:ilvl w:val="0"/>
          <w:numId w:val="1002"/>
        </w:numPr>
      </w:pPr>
      <w:r>
        <w:rPr>
          <w:b/>
          <w:bCs/>
        </w:rPr>
        <w:t xml:space="preserve">Suppression of Exculpatory Evidence:</w:t>
      </w:r>
      <w:r>
        <w:t xml:space="preserve"> </w:t>
      </w:r>
      <w:r>
        <w:t xml:space="preserve">Throughout the PPO and custody proceedings, the court systematically refused to admit Father’s favorable evidence. At the Jan. 2024 PPO hearing, Judge McNeill “refuses to consider much” of Andrew’s documentary proof (photographs, police reports, communication logs) while keeping Emily’s injunction in force</w:t>
      </w:r>
      <w:hyperlink r:id="rId22">
        <w:r>
          <w:rPr>
            <w:rStyle w:val="Hyperlink"/>
          </w:rPr>
          <w:t xml:space="preserve">[19]</w:t>
        </w:r>
      </w:hyperlink>
      <w:r>
        <w:t xml:space="preserve">. In August 2025, she flatly declared she “would not look” at Father’s photos of the child</w:t>
      </w:r>
      <w:hyperlink r:id="rId21">
        <w:r>
          <w:rPr>
            <w:rStyle w:val="Hyperlink"/>
          </w:rPr>
          <w:t xml:space="preserve">[5]</w:t>
        </w:r>
      </w:hyperlink>
      <w:r>
        <w:t xml:space="preserve">. By contrast, the court admitted Watson’s unsworn recordings and hearsay without authentication. This one-sided handling violates MCR 2.107(G) (duty to serve filed evidence) and Friend-of-Court Rule 3.215(F) (right to present evidence)</w:t>
      </w:r>
      <w:hyperlink r:id="rId25">
        <w:r>
          <w:rPr>
            <w:rStyle w:val="Hyperlink"/>
          </w:rPr>
          <w:t xml:space="preserve">[20]</w:t>
        </w:r>
      </w:hyperlink>
      <w:hyperlink r:id="rId21">
        <w:r>
          <w:rPr>
            <w:rStyle w:val="Hyperlink"/>
          </w:rPr>
          <w:t xml:space="preserve">[7]</w:t>
        </w:r>
      </w:hyperlink>
      <w:r>
        <w:t xml:space="preserve">. On appeal, these omissions breach due process (Michigan and federal) and constitute an abuse of discretion.</w:t>
      </w:r>
    </w:p>
    <w:p>
      <w:pPr>
        <w:numPr>
          <w:ilvl w:val="0"/>
          <w:numId w:val="1002"/>
        </w:numPr>
      </w:pPr>
      <w:r>
        <w:rPr>
          <w:b/>
          <w:bCs/>
        </w:rPr>
        <w:t xml:space="preserve">Failure to Make Required Findings (MCR 2.517/3.210):</w:t>
      </w:r>
      <w:r>
        <w:t xml:space="preserve"> </w:t>
      </w:r>
      <w:r>
        <w:t xml:space="preserve">When restricting parenting time, a Michigan court must enter written findings of fact. MCR 2.517(A) and MCR 3.210(D) explicitly require “findings of fact and conclusions of law sufficient to demonstrate application of the correct legal standard” (such as MCL 722.27a(3))</w:t>
      </w:r>
      <w:hyperlink r:id="rId24">
        <w:r>
          <w:rPr>
            <w:rStyle w:val="Hyperlink"/>
          </w:rPr>
          <w:t xml:space="preserve">[16]</w:t>
        </w:r>
      </w:hyperlink>
      <w:r>
        <w:t xml:space="preserve">. Here, the court’s orders (Aug 8, Sept 9, etc.) contain no such findings. The Sept. 9 interim order simply “continues the suspension… until further order” with</w:t>
      </w:r>
      <w:r>
        <w:t xml:space="preserve"> </w:t>
      </w:r>
      <w:r>
        <w:rPr>
          <w:i/>
          <w:iCs/>
        </w:rPr>
        <w:t xml:space="preserve">“no factual findings on the record”</w:t>
      </w:r>
      <w:hyperlink r:id="rId21">
        <w:r>
          <w:rPr>
            <w:rStyle w:val="Hyperlink"/>
          </w:rPr>
          <w:t xml:space="preserve">[9]</w:t>
        </w:r>
      </w:hyperlink>
      <w:r>
        <w:t xml:space="preserve">. No Best-Interest factors or credible endangerment facts are articulated. The consolidated motion notes that the HealthWest evaluation (favorable to Father) was disregarded without explanation</w:t>
      </w:r>
      <w:hyperlink r:id="rId22">
        <w:r>
          <w:rPr>
            <w:rStyle w:val="Hyperlink"/>
          </w:rPr>
          <w:t xml:space="preserve">[21]</w:t>
        </w:r>
      </w:hyperlink>
      <w:r>
        <w:t xml:space="preserve">. This omission violates MCR 2.517 and 3.210(D). The Court of Appeals should remand for an evidentiary hearing with findings, or else vacate the suspension order for failure to make legally required findings</w:t>
      </w:r>
      <w:hyperlink r:id="rId24">
        <w:r>
          <w:rPr>
            <w:rStyle w:val="Hyperlink"/>
          </w:rPr>
          <w:t xml:space="preserve">[16]</w:t>
        </w:r>
      </w:hyperlink>
      <w:hyperlink r:id="rId21">
        <w:r>
          <w:rPr>
            <w:rStyle w:val="Hyperlink"/>
          </w:rPr>
          <w:t xml:space="preserve">[10]</w:t>
        </w:r>
      </w:hyperlink>
      <w:r>
        <w:t xml:space="preserve">.</w:t>
      </w:r>
    </w:p>
    <w:p>
      <w:pPr>
        <w:numPr>
          <w:ilvl w:val="0"/>
          <w:numId w:val="1002"/>
        </w:numPr>
      </w:pPr>
      <w:r>
        <w:rPr>
          <w:b/>
          <w:bCs/>
        </w:rPr>
        <w:t xml:space="preserve">Delay and Procedural Error:</w:t>
      </w:r>
      <w:r>
        <w:t xml:space="preserve"> </w:t>
      </w:r>
      <w:r>
        <w:t xml:space="preserve">The court’s sluggish scheduling compounded the error. By Oct. 8, 2025 the evidentiary hearing was not set until Oct. 29 – almost 90 days after the ex parte order. Such delay is contrary to</w:t>
      </w:r>
      <w:r>
        <w:t xml:space="preserve"> </w:t>
      </w:r>
      <w:r>
        <w:rPr>
          <w:b/>
          <w:bCs/>
        </w:rPr>
        <w:t xml:space="preserve">Canon 3(A)(6)</w:t>
      </w:r>
      <w:r>
        <w:t xml:space="preserve"> </w:t>
      </w:r>
      <w:r>
        <w:t xml:space="preserve">(prompt disposition) and the Supreme Court’s admonition that custody matters demand urgency. On appeal, this delay is per se prejudicial: Father’s rights were effectively suspended far beyond the “emergency” timeframe, violating MCR 3.207(B)(5) and MCL 722.27a(1).</w:t>
      </w:r>
    </w:p>
    <w:p>
      <w:pPr>
        <w:numPr>
          <w:ilvl w:val="0"/>
          <w:numId w:val="1002"/>
        </w:numPr>
      </w:pPr>
      <w:r>
        <w:rPr>
          <w:b/>
          <w:bCs/>
        </w:rPr>
        <w:t xml:space="preserve">Judicial Bias and Credibility:</w:t>
      </w:r>
      <w:r>
        <w:t xml:space="preserve"> </w:t>
      </w:r>
      <w:r>
        <w:t xml:space="preserve">The record shows recurrent prejudice against Father. The judge repeatedly depicted him as mentally unstable (linking his loss of job/housing to “culmination of…issues”) without evidence</w:t>
      </w:r>
      <w:hyperlink r:id="rId26">
        <w:r>
          <w:rPr>
            <w:rStyle w:val="Hyperlink"/>
          </w:rPr>
          <w:t xml:space="preserve">[22]</w:t>
        </w:r>
      </w:hyperlink>
      <w:r>
        <w:t xml:space="preserve">. On the record, she labeled his concerns “delusional” and characterized his witnesses as dishonest. The Appeals Court must note that credibility determinations lacked neutrality. Given the judge’s tone (“predetermined…outcome”, see App. 137a</w:t>
      </w:r>
      <w:hyperlink r:id="rId21">
        <w:r>
          <w:rPr>
            <w:rStyle w:val="Hyperlink"/>
          </w:rPr>
          <w:t xml:space="preserve">[13]</w:t>
        </w:r>
      </w:hyperlink>
      <w:r>
        <w:t xml:space="preserve">) and repeated exclusion of Andrew’s narrative, there is a strong appearance of bias (MCR 2.003(C)(1)(a)). These factors undermine the trial court’s credibility and can support reversal or remand for a new judge.</w:t>
      </w:r>
    </w:p>
    <w:p>
      <w:pPr>
        <w:numPr>
          <w:ilvl w:val="0"/>
          <w:numId w:val="1002"/>
        </w:numPr>
      </w:pPr>
      <w:r>
        <w:rPr>
          <w:b/>
          <w:bCs/>
        </w:rPr>
        <w:t xml:space="preserve">Relief Framework:</w:t>
      </w:r>
      <w:r>
        <w:t xml:space="preserve"> </w:t>
      </w:r>
      <w:r>
        <w:t xml:space="preserve">If the appeals court finds reversible error, it should order vacatur of the parenting-time suspension and direct reinstatement of the prior schedule with makeup time (MCL 722.27a(9)–(11)). At minimum, remand with instructions to hold a timely hearing under MCR 2.517/3.210 and to enter specific findings is warranted</w:t>
      </w:r>
      <w:hyperlink r:id="rId24">
        <w:r>
          <w:rPr>
            <w:rStyle w:val="Hyperlink"/>
          </w:rPr>
          <w:t xml:space="preserve">[16]</w:t>
        </w:r>
      </w:hyperlink>
      <w:hyperlink r:id="rId25">
        <w:r>
          <w:rPr>
            <w:rStyle w:val="Hyperlink"/>
          </w:rPr>
          <w:t xml:space="preserve">[23]</w:t>
        </w:r>
      </w:hyperlink>
      <w:r>
        <w:t xml:space="preserve">. During remand, interim relief (supervised visits) should be ordered, per MCL 722.27a(3) (least-restrictive measures). Finally, the court should sanction the improper practices (e.g. exclusion of evidence) by ordering a clean record or contempt sanctions to rectify prejudice.</w:t>
      </w:r>
    </w:p>
    <w:bookmarkEnd w:id="27"/>
    <w:bookmarkStart w:id="28" w:name="X7ac626ca46fe191a2c438502ea3183a581a1d70"/>
    <w:p>
      <w:pPr>
        <w:pStyle w:val="Heading2"/>
      </w:pPr>
      <w:r>
        <w:t xml:space="preserve">Delta999-Civil Rights Version (42 U.S.C. §1983)</w:t>
      </w:r>
    </w:p>
    <w:p>
      <w:pPr>
        <w:numPr>
          <w:ilvl w:val="0"/>
          <w:numId w:val="1003"/>
        </w:numPr>
      </w:pPr>
      <w:r>
        <w:rPr>
          <w:b/>
          <w:bCs/>
        </w:rPr>
        <w:t xml:space="preserve">Violation of Constitutional Parental Rights:</w:t>
      </w:r>
      <w:r>
        <w:t xml:space="preserve"> </w:t>
      </w:r>
      <w:r>
        <w:t xml:space="preserve">Mr. Pigors’s fundamental liberty interest in parenting his son was infringed under color of law. Without any judicial finding of danger, the court’s orders effectively “erased” Andrew’s parental custody for months</w:t>
      </w:r>
      <w:hyperlink r:id="rId22">
        <w:r>
          <w:rPr>
            <w:rStyle w:val="Hyperlink"/>
          </w:rPr>
          <w:t xml:space="preserve">[24]</w:t>
        </w:r>
      </w:hyperlink>
      <w:r>
        <w:t xml:space="preserve">. From shared 50/50 custody, he was abruptly dropped to</w:t>
      </w:r>
      <w:r>
        <w:t xml:space="preserve"> </w:t>
      </w:r>
      <w:r>
        <w:rPr>
          <w:i/>
          <w:iCs/>
        </w:rPr>
        <w:t xml:space="preserve">zero</w:t>
      </w:r>
      <w:r>
        <w:t xml:space="preserve"> </w:t>
      </w:r>
      <w:r>
        <w:t xml:space="preserve">parenting time (an indefinite de facto termination) due to baseless allegations. This amounted to state action depriving him of custody without due process, offending the 14th Amendment’s guarantee of family integrity</w:t>
      </w:r>
      <w:hyperlink r:id="rId22">
        <w:r>
          <w:rPr>
            <w:rStyle w:val="Hyperlink"/>
          </w:rPr>
          <w:t xml:space="preserve">[24]</w:t>
        </w:r>
      </w:hyperlink>
      <w:r>
        <w:t xml:space="preserve">. As the analysis notes, these actions “deprived him of precious, irreplaceable time during his son’s early years”</w:t>
      </w:r>
      <w:hyperlink r:id="rId22">
        <w:r>
          <w:rPr>
            <w:rStyle w:val="Hyperlink"/>
          </w:rPr>
          <w:t xml:space="preserve">[24]</w:t>
        </w:r>
      </w:hyperlink>
      <w:r>
        <w:t xml:space="preserve"> </w:t>
      </w:r>
      <w:r>
        <w:t xml:space="preserve">and support a civil-rights claim: “violation of Andrew’s 14th Amendment right to family integrity under color of law”</w:t>
      </w:r>
      <w:hyperlink r:id="rId22">
        <w:r>
          <w:rPr>
            <w:rStyle w:val="Hyperlink"/>
          </w:rPr>
          <w:t xml:space="preserve">[24]</w:t>
        </w:r>
      </w:hyperlink>
      <w:r>
        <w:t xml:space="preserve">.</w:t>
      </w:r>
    </w:p>
    <w:p>
      <w:pPr>
        <w:numPr>
          <w:ilvl w:val="0"/>
          <w:numId w:val="1003"/>
        </w:numPr>
      </w:pPr>
      <w:r>
        <w:rPr>
          <w:b/>
          <w:bCs/>
        </w:rPr>
        <w:t xml:space="preserve">Ex Parte “Penal” Custody and False PPO:</w:t>
      </w:r>
      <w:r>
        <w:t xml:space="preserve"> </w:t>
      </w:r>
      <w:r>
        <w:t xml:space="preserve">The emergency ex parte orders – both the 2023 PPO and the 2025 parenting-time suspension – were procured and enforced without basic fairness. In Nov. 2023 Emily obtained an ex parte PPO with fabricated claims (e.g. arsenic poisoning) that netted her sole custody</w:t>
      </w:r>
      <w:hyperlink r:id="rId22">
        <w:r>
          <w:rPr>
            <w:rStyle w:val="Hyperlink"/>
          </w:rPr>
          <w:t xml:space="preserve">[25]</w:t>
        </w:r>
      </w:hyperlink>
      <w:r>
        <w:t xml:space="preserve">. Judge McNeill then used the PPO framework punitively: she granted Emily’s 8/8/25 ex parte motion</w:t>
      </w:r>
      <w:r>
        <w:t xml:space="preserve"> </w:t>
      </w:r>
      <w:r>
        <w:rPr>
          <w:i/>
          <w:iCs/>
        </w:rPr>
        <w:t xml:space="preserve">the very same day</w:t>
      </w:r>
      <w:hyperlink r:id="rId22">
        <w:r>
          <w:rPr>
            <w:rStyle w:val="Hyperlink"/>
          </w:rPr>
          <w:t xml:space="preserve">[14]</w:t>
        </w:r>
      </w:hyperlink>
      <w:r>
        <w:t xml:space="preserve">, barring Andrew from all contact. This court-sanctioned “custodial interference” is equivalent to state detention of a parent without hearing</w:t>
      </w:r>
      <w:hyperlink r:id="rId22">
        <w:r>
          <w:rPr>
            <w:rStyle w:val="Hyperlink"/>
          </w:rPr>
          <w:t xml:space="preserve">[14]</w:t>
        </w:r>
      </w:hyperlink>
      <w:hyperlink r:id="rId22">
        <w:r>
          <w:rPr>
            <w:rStyle w:val="Hyperlink"/>
          </w:rPr>
          <w:t xml:space="preserve">[18]</w:t>
        </w:r>
      </w:hyperlink>
      <w:r>
        <w:t xml:space="preserve">. Father’s removal from his son’s life was effectuated by judicial fiat, not by any crime or health finding, raising serious 42 U.S.C. §1983 issues (analogous to Fourteenth-Amendment “wrongful custody” cases).</w:t>
      </w:r>
    </w:p>
    <w:p>
      <w:pPr>
        <w:numPr>
          <w:ilvl w:val="0"/>
          <w:numId w:val="1003"/>
        </w:numPr>
      </w:pPr>
      <w:r>
        <w:rPr>
          <w:b/>
          <w:bCs/>
        </w:rPr>
        <w:t xml:space="preserve">Unlawful Contempt and Intimidation:</w:t>
      </w:r>
      <w:r>
        <w:t xml:space="preserve"> </w:t>
      </w:r>
      <w:r>
        <w:t xml:space="preserve">The court weaponized contempt against Mr. Pigors in violation of due process. At the Feb. 28, 2025 PPO-show-cause hearing, the prosecutor found “nothing substantive” to punish, yet Judge McNeill continued as if Andrew faced imprisonment. He later wrote that he feared</w:t>
      </w:r>
      <w:r>
        <w:t xml:space="preserve"> </w:t>
      </w:r>
      <w:r>
        <w:rPr>
          <w:b/>
          <w:bCs/>
        </w:rPr>
        <w:t xml:space="preserve">“she’s going to put me in jail even though”</w:t>
      </w:r>
      <w:r>
        <w:t xml:space="preserve"> </w:t>
      </w:r>
      <w:r>
        <w:t xml:space="preserve">his motion had no merit</w:t>
      </w:r>
      <w:hyperlink r:id="rId22">
        <w:r>
          <w:rPr>
            <w:rStyle w:val="Hyperlink"/>
          </w:rPr>
          <w:t xml:space="preserve">[26]</w:t>
        </w:r>
      </w:hyperlink>
      <w:r>
        <w:t xml:space="preserve">. This explicit threat of incarceration for exercising legal rights violated MCL 600.1701 et seq. (which require willful disobedience and findings before contempt). Using the specter of jail “to intimidate Andrew” is actionable as an abuse of state power</w:t>
      </w:r>
      <w:hyperlink r:id="rId22">
        <w:r>
          <w:rPr>
            <w:rStyle w:val="Hyperlink"/>
          </w:rPr>
          <w:t xml:space="preserve">[26]</w:t>
        </w:r>
      </w:hyperlink>
      <w:r>
        <w:t xml:space="preserve">.</w:t>
      </w:r>
    </w:p>
    <w:p>
      <w:pPr>
        <w:numPr>
          <w:ilvl w:val="0"/>
          <w:numId w:val="1003"/>
        </w:numPr>
      </w:pPr>
      <w:r>
        <w:rPr>
          <w:b/>
          <w:bCs/>
        </w:rPr>
        <w:t xml:space="preserve">Retaliation and Access‑to‑Justice:</w:t>
      </w:r>
      <w:r>
        <w:t xml:space="preserve"> </w:t>
      </w:r>
      <w:r>
        <w:t xml:space="preserve">State actors retaliated against Andrew’s advocacy. When he repeatedly challenged misconduct, the court imposed a $250 “deposit” requirement to file any motion</w:t>
      </w:r>
      <w:hyperlink r:id="rId22">
        <w:r>
          <w:rPr>
            <w:rStyle w:val="Hyperlink"/>
          </w:rPr>
          <w:t xml:space="preserve">[27]</w:t>
        </w:r>
      </w:hyperlink>
      <w:r>
        <w:t xml:space="preserve">. This effectively held his access to court</w:t>
      </w:r>
      <w:r>
        <w:t xml:space="preserve"> </w:t>
      </w:r>
      <w:r>
        <w:rPr>
          <w:i/>
          <w:iCs/>
        </w:rPr>
        <w:t xml:space="preserve">hostage behind a paywall</w:t>
      </w:r>
      <w:r>
        <w:t xml:space="preserve">, absent statutory authority</w:t>
      </w:r>
      <w:hyperlink r:id="rId22">
        <w:r>
          <w:rPr>
            <w:rStyle w:val="Hyperlink"/>
          </w:rPr>
          <w:t xml:space="preserve">[27]</w:t>
        </w:r>
      </w:hyperlink>
      <w:r>
        <w:t xml:space="preserve">. Such pre-filing restrictions violate the First Amendment and equal protection when imposed arbitrarily. In addition, Friend-of-Court personnel (and the local prosecutor) sided with Emily’s unfounded claims, ignoring police reports that cleared Andrew</w:t>
      </w:r>
      <w:hyperlink r:id="rId22">
        <w:r>
          <w:rPr>
            <w:rStyle w:val="Hyperlink"/>
          </w:rPr>
          <w:t xml:space="preserve">[28]</w:t>
        </w:r>
      </w:hyperlink>
      <w:hyperlink r:id="rId22">
        <w:r>
          <w:rPr>
            <w:rStyle w:val="Hyperlink"/>
          </w:rPr>
          <w:t xml:space="preserve">[29]</w:t>
        </w:r>
      </w:hyperlink>
      <w:r>
        <w:t xml:space="preserve">. The coordinated denial of relief by multiple state agents (judge, FOC, prosecutor) renders this a government-wide violation under §1983.</w:t>
      </w:r>
    </w:p>
    <w:p>
      <w:pPr>
        <w:numPr>
          <w:ilvl w:val="0"/>
          <w:numId w:val="1003"/>
        </w:numPr>
      </w:pPr>
      <w:r>
        <w:rPr>
          <w:b/>
          <w:bCs/>
        </w:rPr>
        <w:t xml:space="preserve">Harms:</w:t>
      </w:r>
      <w:r>
        <w:t xml:space="preserve"> </w:t>
      </w:r>
      <w:r>
        <w:t xml:space="preserve">Andrew suffered severe emotional, reputational, and financial injury. He endured months of</w:t>
      </w:r>
      <w:r>
        <w:t xml:space="preserve"> </w:t>
      </w:r>
      <w:r>
        <w:rPr>
          <w:b/>
          <w:bCs/>
        </w:rPr>
        <w:t xml:space="preserve">psychological trauma</w:t>
      </w:r>
      <w:r>
        <w:t xml:space="preserve"> </w:t>
      </w:r>
      <w:r>
        <w:t xml:space="preserve">from losing his son and living under legal threats</w:t>
      </w:r>
      <w:hyperlink r:id="rId22">
        <w:r>
          <w:rPr>
            <w:rStyle w:val="Hyperlink"/>
          </w:rPr>
          <w:t xml:space="preserve">[14]</w:t>
        </w:r>
      </w:hyperlink>
      <w:hyperlink r:id="rId22">
        <w:r>
          <w:rPr>
            <w:rStyle w:val="Hyperlink"/>
          </w:rPr>
          <w:t xml:space="preserve">[26]</w:t>
        </w:r>
      </w:hyperlink>
      <w:r>
        <w:t xml:space="preserve">. The poisoning allegation gravely injured his reputation</w:t>
      </w:r>
      <w:hyperlink r:id="rId22">
        <w:r>
          <w:rPr>
            <w:rStyle w:val="Hyperlink"/>
          </w:rPr>
          <w:t xml:space="preserve">[25]</w:t>
        </w:r>
      </w:hyperlink>
      <w:r>
        <w:t xml:space="preserve">. He lost wages during incarceration episodes and eviction, and incurred fees for attorneys, evaluations, and make-up time requests</w:t>
      </w:r>
      <w:hyperlink r:id="rId22">
        <w:r>
          <w:rPr>
            <w:rStyle w:val="Hyperlink"/>
          </w:rPr>
          <w:t xml:space="preserve">[30]</w:t>
        </w:r>
      </w:hyperlink>
      <w:hyperlink r:id="rId22">
        <w:r>
          <w:rPr>
            <w:rStyle w:val="Hyperlink"/>
          </w:rPr>
          <w:t xml:space="preserve">[27]</w:t>
        </w:r>
      </w:hyperlink>
      <w:r>
        <w:t xml:space="preserve">. Lincoln, the child, faced anxiety and distress from being torn from his father and witnessing extreme conflict. Michigan law itself recognizes these injuries: a wrongful parenting-time deprivation requires makeup visits (MCL 722.27a(9)–(11))</w:t>
      </w:r>
      <w:hyperlink r:id="rId21">
        <w:r>
          <w:rPr>
            <w:rStyle w:val="Hyperlink"/>
          </w:rPr>
          <w:t xml:space="preserve">[12]</w:t>
        </w:r>
      </w:hyperlink>
      <w:r>
        <w:t xml:space="preserve">.</w:t>
      </w:r>
    </w:p>
    <w:p>
      <w:pPr>
        <w:numPr>
          <w:ilvl w:val="0"/>
          <w:numId w:val="1003"/>
        </w:numPr>
      </w:pPr>
      <w:r>
        <w:rPr>
          <w:b/>
          <w:bCs/>
        </w:rPr>
        <w:t xml:space="preserve">Legal Framework:</w:t>
      </w:r>
      <w:r>
        <w:t xml:space="preserve"> </w:t>
      </w:r>
      <w:r>
        <w:t xml:space="preserve">While Judge McNeill has immunity for judicial acts, Andrew may sue under §1983 against the Muskegon family court system (Friend-of-Court, county officials) for executing policies or actions that violated his rights. Analogous cases (e.g.</w:t>
      </w:r>
      <w:r>
        <w:t xml:space="preserve"> </w:t>
      </w:r>
      <w:r>
        <w:rPr>
          <w:i/>
          <w:iCs/>
        </w:rPr>
        <w:t xml:space="preserve">Schelske v. Austin</w:t>
      </w:r>
      <w:r>
        <w:t xml:space="preserve">, E.D. Mich.) have entertained §1983 claims where parents are deprived of custody by government actors without due process</w:t>
      </w:r>
      <w:hyperlink r:id="rId22">
        <w:r>
          <w:rPr>
            <w:rStyle w:val="Hyperlink"/>
          </w:rPr>
          <w:t xml:space="preserve">[31]</w:t>
        </w:r>
      </w:hyperlink>
      <w:r>
        <w:t xml:space="preserve">. Here, the systemic failure to provide fair proceedings – coupled with punitive ex parte orders and contempt threats – constitutes color-of-law misconduct. A §1983 complaint would allege violation of the Fourteenth Amendment (deprivation of liberty without due process) and possibly the First (retaliation for petitioning the court). The timeline and affidavits provide a factual basis for these claims.</w:t>
      </w:r>
    </w:p>
    <w:p>
      <w:pPr>
        <w:numPr>
          <w:ilvl w:val="0"/>
          <w:numId w:val="1003"/>
        </w:numPr>
      </w:pPr>
      <w:r>
        <w:rPr>
          <w:b/>
          <w:bCs/>
        </w:rPr>
        <w:t xml:space="preserve">Remedy:</w:t>
      </w:r>
      <w:r>
        <w:t xml:space="preserve"> </w:t>
      </w:r>
      <w:r>
        <w:t xml:space="preserve">Andrew should seek injunctive relief restoring his parenting time (back to 50/50), plus makeup visitation to cure the deprivation. He should also request damages for emotional harm, reputational injury, and punitive civil-rights relief. Finally, any §1983 suit should note that the pattern of bias and ex parte actions “</w:t>
      </w:r>
      <w:r>
        <w:rPr>
          <w:i/>
          <w:iCs/>
        </w:rPr>
        <w:t xml:space="preserve">perpetrated a breakdown of normal legal process</w:t>
      </w:r>
      <w:r>
        <w:t xml:space="preserve">”</w:t>
      </w:r>
      <w:hyperlink r:id="rId22">
        <w:r>
          <w:rPr>
            <w:rStyle w:val="Hyperlink"/>
          </w:rPr>
          <w:t xml:space="preserve">[32]</w:t>
        </w:r>
      </w:hyperlink>
      <w:r>
        <w:t xml:space="preserve">, entitling him to relief under §1983 and possibly 42 U.S.C. §1988 (attorneys’ fees).</w:t>
      </w:r>
    </w:p>
    <w:p>
      <w:pPr>
        <w:pStyle w:val="FirstParagraph"/>
      </w:pPr>
      <w:r>
        <w:t xml:space="preserve">Each of these narratives highlights the same core facts—bias, due-process failures, and harm—framed for the appropriate forum. Citations above anchor every claim to the record and to binding legal authorities, ensuring a tightly grounded, litigation-ready presentation.</w:t>
      </w:r>
    </w:p>
    <w:p>
      <w:pPr>
        <w:pStyle w:val="BodyText"/>
      </w:pPr>
      <w:r>
        <w:rPr>
          <w:b/>
          <w:bCs/>
        </w:rPr>
        <w:t xml:space="preserve">Sources:</w:t>
      </w:r>
      <w:r>
        <w:t xml:space="preserve"> </w:t>
      </w:r>
      <w:r>
        <w:t xml:space="preserve">Verified chronology, motion papers, and timeline analyses prepared by counsel and filed in Pigors v. Watson (Muskegon Cty. Cir. Ct.); Michigan Court Rules and Code of Judicial Conduct (as cited above)</w:t>
      </w:r>
      <w:hyperlink r:id="rId21">
        <w:r>
          <w:rPr>
            <w:rStyle w:val="Hyperlink"/>
          </w:rPr>
          <w:t xml:space="preserve">[1]</w:t>
        </w:r>
      </w:hyperlink>
      <w:hyperlink r:id="rId24">
        <w:r>
          <w:rPr>
            <w:rStyle w:val="Hyperlink"/>
          </w:rPr>
          <w:t xml:space="preserve">[16]</w:t>
        </w:r>
      </w:hyperlink>
      <w:hyperlink r:id="rId22">
        <w:r>
          <w:rPr>
            <w:rStyle w:val="Hyperlink"/>
          </w:rPr>
          <w:t xml:space="preserve">[24]</w:t>
        </w:r>
      </w:hyperlink>
      <w:r>
        <w:t xml:space="preserve">.</w:t>
      </w:r>
    </w:p>
    <w:bookmarkEnd w:id="28"/>
    <w:bookmarkEnd w:id="29"/>
    <w:bookmarkEnd w:id="30"/>
    <w:p>
      <w:r>
        <w:pict>
          <v:rect style="width:0;height:1.5pt" o:hralign="center" o:hrstd="t" o:hr="t"/>
        </w:pict>
      </w:r>
    </w:p>
    <w:bookmarkStart w:id="31"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hyperlink r:id="rId21">
        <w:r>
          <w:rPr>
            <w:rStyle w:val="Hyperlink"/>
          </w:rPr>
          <w:t xml:space="preserve">[13]</w:t>
        </w:r>
      </w:hyperlink>
      <w:r>
        <w:t xml:space="preserve"> </w:t>
      </w:r>
      <w:r>
        <w:t xml:space="preserve">Appendix – Timeline of Judicial Misconduct in _Pigors v. Watson_ (Case No. 2024‑001507‑DC).pdf</w:t>
      </w:r>
    </w:p>
    <w:p>
      <w:pPr>
        <w:pStyle w:val="BodyText"/>
      </w:pPr>
      <w:hyperlink r:id="rId21">
        <w:r>
          <w:rPr>
            <w:rStyle w:val="Hyperlink"/>
          </w:rPr>
          <w:t xml:space="preserve">https://drive.google.com/file/d/1SNe4Psef4WvARpciGm9-Yto1MuqxWUSO</w:t>
        </w:r>
      </w:hyperlink>
    </w:p>
    <w:p>
      <w:pPr>
        <w:pStyle w:val="BodyText"/>
      </w:pPr>
      <w:hyperlink r:id="rId22">
        <w:r>
          <w:rPr>
            <w:rStyle w:val="Hyperlink"/>
          </w:rPr>
          <w:t xml:space="preserve">[3]</w:t>
        </w:r>
      </w:hyperlink>
      <w:r>
        <w:t xml:space="preserve"> </w:t>
      </w:r>
      <w:hyperlink r:id="rId22">
        <w:r>
          <w:rPr>
            <w:rStyle w:val="Hyperlink"/>
          </w:rPr>
          <w:t xml:space="preserve">[14]</w:t>
        </w:r>
      </w:hyperlink>
      <w:r>
        <w:t xml:space="preserve"> </w:t>
      </w:r>
      <w:hyperlink r:id="rId22">
        <w:r>
          <w:rPr>
            <w:rStyle w:val="Hyperlink"/>
          </w:rPr>
          <w:t xml:space="preserve">[15]</w:t>
        </w:r>
      </w:hyperlink>
      <w:r>
        <w:t xml:space="preserve"> </w:t>
      </w:r>
      <w:hyperlink r:id="rId22">
        <w:r>
          <w:rPr>
            <w:rStyle w:val="Hyperlink"/>
          </w:rPr>
          <w:t xml:space="preserve">[17]</w:t>
        </w:r>
      </w:hyperlink>
      <w:r>
        <w:t xml:space="preserve"> </w:t>
      </w:r>
      <w:hyperlink r:id="rId22">
        <w:r>
          <w:rPr>
            <w:rStyle w:val="Hyperlink"/>
          </w:rPr>
          <w:t xml:space="preserve">[18]</w:t>
        </w:r>
      </w:hyperlink>
      <w:r>
        <w:t xml:space="preserve"> </w:t>
      </w:r>
      <w:hyperlink r:id="rId22">
        <w:r>
          <w:rPr>
            <w:rStyle w:val="Hyperlink"/>
          </w:rPr>
          <w:t xml:space="preserve">[19]</w:t>
        </w:r>
      </w:hyperlink>
      <w:r>
        <w:t xml:space="preserve"> </w:t>
      </w:r>
      <w:hyperlink r:id="rId22">
        <w:r>
          <w:rPr>
            <w:rStyle w:val="Hyperlink"/>
          </w:rPr>
          <w:t xml:space="preserve">[21]</w:t>
        </w:r>
      </w:hyperlink>
      <w:r>
        <w:t xml:space="preserve"> </w:t>
      </w:r>
      <w:hyperlink r:id="rId22">
        <w:r>
          <w:rPr>
            <w:rStyle w:val="Hyperlink"/>
          </w:rPr>
          <w:t xml:space="preserve">[24]</w:t>
        </w:r>
      </w:hyperlink>
      <w:r>
        <w:t xml:space="preserve"> </w:t>
      </w:r>
      <w:hyperlink r:id="rId22">
        <w:r>
          <w:rPr>
            <w:rStyle w:val="Hyperlink"/>
          </w:rPr>
          <w:t xml:space="preserve">[25]</w:t>
        </w:r>
      </w:hyperlink>
      <w:r>
        <w:t xml:space="preserve"> </w:t>
      </w:r>
      <w:hyperlink r:id="rId22">
        <w:r>
          <w:rPr>
            <w:rStyle w:val="Hyperlink"/>
          </w:rPr>
          <w:t xml:space="preserve">[26]</w:t>
        </w:r>
      </w:hyperlink>
      <w:r>
        <w:t xml:space="preserve"> </w:t>
      </w:r>
      <w:hyperlink r:id="rId22">
        <w:r>
          <w:rPr>
            <w:rStyle w:val="Hyperlink"/>
          </w:rPr>
          <w:t xml:space="preserve">[27]</w:t>
        </w:r>
      </w:hyperlink>
      <w:r>
        <w:t xml:space="preserve"> </w:t>
      </w:r>
      <w:hyperlink r:id="rId22">
        <w:r>
          <w:rPr>
            <w:rStyle w:val="Hyperlink"/>
          </w:rPr>
          <w:t xml:space="preserve">[28]</w:t>
        </w:r>
      </w:hyperlink>
      <w:r>
        <w:t xml:space="preserve"> </w:t>
      </w:r>
      <w:hyperlink r:id="rId22">
        <w:r>
          <w:rPr>
            <w:rStyle w:val="Hyperlink"/>
          </w:rPr>
          <w:t xml:space="preserve">[29]</w:t>
        </w:r>
      </w:hyperlink>
      <w:r>
        <w:t xml:space="preserve"> </w:t>
      </w:r>
      <w:hyperlink r:id="rId22">
        <w:r>
          <w:rPr>
            <w:rStyle w:val="Hyperlink"/>
          </w:rPr>
          <w:t xml:space="preserve">[30]</w:t>
        </w:r>
      </w:hyperlink>
      <w:r>
        <w:t xml:space="preserve"> </w:t>
      </w:r>
      <w:hyperlink r:id="rId22">
        <w:r>
          <w:rPr>
            <w:rStyle w:val="Hyperlink"/>
          </w:rPr>
          <w:t xml:space="preserve">[31]</w:t>
        </w:r>
      </w:hyperlink>
      <w:r>
        <w:t xml:space="preserve"> </w:t>
      </w:r>
      <w:hyperlink r:id="rId22">
        <w:r>
          <w:rPr>
            <w:rStyle w:val="Hyperlink"/>
          </w:rPr>
          <w:t xml:space="preserve">[32]</w:t>
        </w:r>
      </w:hyperlink>
      <w:r>
        <w:t xml:space="preserve"> </w:t>
      </w:r>
      <w:r>
        <w:t xml:space="preserve">Comprehensive Evidence Analysis_ Custody, PPO Misuse &amp; Judicial Misconduct in Pigors v. Watson.pdf</w:t>
      </w:r>
    </w:p>
    <w:p>
      <w:pPr>
        <w:pStyle w:val="BodyText"/>
      </w:pPr>
      <w:hyperlink r:id="rId22">
        <w:r>
          <w:rPr>
            <w:rStyle w:val="Hyperlink"/>
          </w:rPr>
          <w:t xml:space="preserve">https://drive.google.com/file/d/1LG4iRg64yf3m5UJHVrP1yxHGJ5MH-4aA</w:t>
        </w:r>
      </w:hyperlink>
    </w:p>
    <w:p>
      <w:pPr>
        <w:pStyle w:val="BodyText"/>
      </w:pPr>
      <w:hyperlink r:id="rId24">
        <w:r>
          <w:rPr>
            <w:rStyle w:val="Hyperlink"/>
          </w:rPr>
          <w:t xml:space="preserve">[16]</w:t>
        </w:r>
      </w:hyperlink>
      <w:r>
        <w:t xml:space="preserve"> </w:t>
      </w:r>
      <w:r>
        <w:t xml:space="preserve">03_Motion_to_Require_Findings_MCR_2.517_and_3.210(D)_v2_Muskegon_Local.docx</w:t>
      </w:r>
    </w:p>
    <w:p>
      <w:pPr>
        <w:pStyle w:val="BodyText"/>
      </w:pPr>
      <w:hyperlink r:id="rId24">
        <w:r>
          <w:rPr>
            <w:rStyle w:val="Hyperlink"/>
          </w:rPr>
          <w:t xml:space="preserve">https://drive.google.com/file/d/1a7jNAFZS68j3eUk1WZ86OS1cuMjsI1Pe</w:t>
        </w:r>
      </w:hyperlink>
    </w:p>
    <w:p>
      <w:pPr>
        <w:pStyle w:val="BodyText"/>
      </w:pPr>
      <w:hyperlink r:id="rId25">
        <w:r>
          <w:rPr>
            <w:rStyle w:val="Hyperlink"/>
          </w:rPr>
          <w:t xml:space="preserve">[20]</w:t>
        </w:r>
      </w:hyperlink>
      <w:r>
        <w:t xml:space="preserve"> </w:t>
      </w:r>
      <w:hyperlink r:id="rId25">
        <w:r>
          <w:rPr>
            <w:rStyle w:val="Hyperlink"/>
          </w:rPr>
          <w:t xml:space="preserve">[23]</w:t>
        </w:r>
      </w:hyperlink>
      <w:r>
        <w:t xml:space="preserve"> </w:t>
      </w:r>
      <w:r>
        <w:t xml:space="preserve">Consolidated_Motion_and_Brief_WITH_ORDER_Pigors_v_Watson_2025-10-02_UPDATED.docx</w:t>
      </w:r>
    </w:p>
    <w:p>
      <w:pPr>
        <w:pStyle w:val="BodyText"/>
      </w:pPr>
      <w:hyperlink r:id="rId25">
        <w:r>
          <w:rPr>
            <w:rStyle w:val="Hyperlink"/>
          </w:rPr>
          <w:t xml:space="preserve">https://drive.google.com/file/d/1xiLpbE2rSE524TGy72NJfU1werlBu8Zu</w:t>
        </w:r>
      </w:hyperlink>
    </w:p>
    <w:p>
      <w:pPr>
        <w:pStyle w:val="BodyText"/>
      </w:pPr>
      <w:hyperlink r:id="rId26">
        <w:r>
          <w:rPr>
            <w:rStyle w:val="Hyperlink"/>
          </w:rPr>
          <w:t xml:space="preserve">[22]</w:t>
        </w:r>
      </w:hyperlink>
      <w:r>
        <w:t xml:space="preserve"> </w:t>
      </w:r>
      <w:r>
        <w:t xml:space="preserve">Verified Chronology of Procedural Violations (Pigors v. Watson, 2023–2025).pdf</w:t>
      </w:r>
    </w:p>
    <w:p>
      <w:pPr>
        <w:pStyle w:val="BodyText"/>
      </w:pPr>
      <w:hyperlink r:id="rId26">
        <w:r>
          <w:rPr>
            <w:rStyle w:val="Hyperlink"/>
          </w:rPr>
          <w:t xml:space="preserve">https://drive.google.com/file/d/1hKh-gHDDcXYFlT_S2T0fS6HBufg277_o</w:t>
        </w:r>
      </w:hyperlink>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drive.google.com/file/d/1LG4iRg64yf3m5UJHVrP1yxHGJ5MH-4aA" TargetMode="External" /><Relationship Type="http://schemas.openxmlformats.org/officeDocument/2006/relationships/hyperlink" Id="rId21" Target="https://drive.google.com/file/d/1SNe4Psef4WvARpciGm9-Yto1MuqxWUSO" TargetMode="External" /><Relationship Type="http://schemas.openxmlformats.org/officeDocument/2006/relationships/hyperlink" Id="rId24" Target="https://drive.google.com/file/d/1a7jNAFZS68j3eUk1WZ86OS1cuMjsI1Pe" TargetMode="External" /><Relationship Type="http://schemas.openxmlformats.org/officeDocument/2006/relationships/hyperlink" Id="rId26" Target="https://drive.google.com/file/d/1hKh-gHDDcXYFlT_S2T0fS6HBufg277_o" TargetMode="External" /><Relationship Type="http://schemas.openxmlformats.org/officeDocument/2006/relationships/hyperlink" Id="rId25" Target="https://drive.google.com/file/d/1xiLpbE2rSE524TGy72NJfU1werlBu8Zu" TargetMode="External" /></Relationships>
</file>

<file path=word/_rels/footnotes.xml.rels><?xml version="1.0" encoding="UTF-8"?><Relationships xmlns="http://schemas.openxmlformats.org/package/2006/relationships"><Relationship Type="http://schemas.openxmlformats.org/officeDocument/2006/relationships/hyperlink" Id="rId22" Target="https://drive.google.com/file/d/1LG4iRg64yf3m5UJHVrP1yxHGJ5MH-4aA" TargetMode="External" /><Relationship Type="http://schemas.openxmlformats.org/officeDocument/2006/relationships/hyperlink" Id="rId21" Target="https://drive.google.com/file/d/1SNe4Psef4WvARpciGm9-Yto1MuqxWUSO" TargetMode="External" /><Relationship Type="http://schemas.openxmlformats.org/officeDocument/2006/relationships/hyperlink" Id="rId24" Target="https://drive.google.com/file/d/1a7jNAFZS68j3eUk1WZ86OS1cuMjsI1Pe" TargetMode="External" /><Relationship Type="http://schemas.openxmlformats.org/officeDocument/2006/relationships/hyperlink" Id="rId26" Target="https://drive.google.com/file/d/1hKh-gHDDcXYFlT_S2T0fS6HBufg277_o" TargetMode="External" /><Relationship Type="http://schemas.openxmlformats.org/officeDocument/2006/relationships/hyperlink" Id="rId25" Target="https://drive.google.com/file/d/1xiLpbE2rSE524TGy72NJfU1werlBu8Z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2026-03-05T02:25:05Z</dcterms:created>
  <dcterms:modified xsi:type="dcterms:W3CDTF">2026-03-05T02:25:05Z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