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</w:r>
    </w:p>
    <w:p>
      <w:pPr>
        <w:jc w:val="center"/>
      </w:pPr>
      <w:r>
        <w:rPr>
          <w:b/>
        </w:rPr>
        <w:t>IN THE CIRCUIT COURT FOR THE COUNTY OF MUSKEGON</w:t>
      </w:r>
    </w:p>
    <w:p>
      <w:r>
        <w:rPr>
          <w:b w:val="0"/>
        </w:rPr>
      </w:r>
    </w:p>
    <w:p>
      <w:r>
        <w:rPr>
          <w:b/>
        </w:rPr>
        <w:t>ANDREW J. PIGORS, Plaintiff</w:t>
      </w:r>
    </w:p>
    <w:p>
      <w:r>
        <w:rPr>
          <w:b w:val="0"/>
        </w:rPr>
        <w:t>v. SHADY OAKS PARK MHP, LLC, et al., Defendants</w:t>
      </w:r>
    </w:p>
    <w:p>
      <w:r>
        <w:rPr>
          <w:b w:val="0"/>
        </w:rPr>
      </w:r>
    </w:p>
    <w:p>
      <w:pPr>
        <w:jc w:val="right"/>
      </w:pPr>
      <w:r>
        <w:rPr>
          <w:b w:val="0"/>
        </w:rPr>
        <w:t>Case No.: ____________________</w:t>
      </w:r>
    </w:p>
    <w:p>
      <w:pPr>
        <w:jc w:val="right"/>
      </w:pPr>
      <w:r>
        <w:rPr>
          <w:b w:val="0"/>
        </w:rPr>
        <w:t>Hon.: ____________________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EMERGENCY MOTION FOR TEMPORARY RESTRAINING ORDER AND PRELIMINARY INJUNCTION</w:t>
      </w:r>
    </w:p>
    <w:p>
      <w:pPr>
        <w:jc w:val="center"/>
      </w:pPr>
      <w:r>
        <w:rPr>
          <w:b/>
        </w:rPr>
        <w:t>(MCR 3.310)</w:t>
      </w:r>
    </w:p>
    <w:p>
      <w:r>
        <w:rPr>
          <w:b w:val="0"/>
        </w:rPr>
      </w:r>
    </w:p>
    <w:p>
      <w:r>
        <w:rPr>
          <w:b/>
        </w:rPr>
        <w:t>1. RELIEF REQUESTED</w:t>
      </w:r>
    </w:p>
    <w:p>
      <w:pPr>
        <w:ind w:firstLine="720"/>
      </w:pPr>
      <w:r>
        <w:rPr>
          <w:b w:val="0"/>
        </w:rPr>
        <w:t>• Immediately restrain Defendants and all persons acting in concert with them from transferring, encumbering, listing, selling, moving, disposing of, or further destroying the manufactured home associated with Lot 17.</w:t>
      </w:r>
    </w:p>
    <w:p>
      <w:pPr>
        <w:ind w:firstLine="720"/>
      </w:pPr>
      <w:r>
        <w:rPr>
          <w:b w:val="0"/>
        </w:rPr>
        <w:t>• Immediately restrain Defendants from initiating, filing, or pursuing any declaratory-title proceeding (including an MCR 2.605 action) or any Michigan Secretary of State assigned-title process asserting abandonment or ownership adverse to Plaintiff for the home associated with Lot 17.</w:t>
      </w:r>
    </w:p>
    <w:p>
      <w:pPr>
        <w:ind w:firstLine="720"/>
      </w:pPr>
      <w:r>
        <w:rPr>
          <w:b w:val="0"/>
        </w:rPr>
        <w:t>• Restrain Defendants from communicating to prospective purchasers or agencies that Plaintiff is not the owner or that the home is abandoned.</w:t>
      </w:r>
    </w:p>
    <w:p>
      <w:pPr>
        <w:ind w:firstLine="720"/>
      </w:pPr>
      <w:r>
        <w:rPr>
          <w:b w:val="0"/>
        </w:rPr>
        <w:t>• Order immediate preservation of evidence and records (communications, vendor/contractor records, disposal records, photographs/videos, title-transfer paperwork, internal notes, and accounting/ledger source records).</w:t>
      </w:r>
    </w:p>
    <w:p>
      <w:pPr>
        <w:ind w:firstLine="720"/>
      </w:pPr>
      <w:r>
        <w:rPr>
          <w:b w:val="0"/>
        </w:rPr>
        <w:t>• Set an expedited hearing on preliminary injunction and require verified responses.</w:t>
      </w:r>
    </w:p>
    <w:p>
      <w:r>
        <w:rPr>
          <w:b/>
        </w:rPr>
        <w:t>2. FACTS SHOWING IMMEDIATE AND IRREPARABLE INJURY</w:t>
      </w:r>
    </w:p>
    <w:p>
      <w:pPr>
        <w:ind w:firstLine="720"/>
      </w:pPr>
      <w:r>
        <w:rPr>
          <w:b w:val="0"/>
        </w:rPr>
        <w:t>Plaintiff is the titled owner. Defendants have asserted abandonment and indicated intent to place the home for sale/transfer. A transfer or disposal would cause irreparable harm and risk mootness. Plaintiff also alleges destruction/conversion has already occurred, increasing spoliation risk. Plaintiff seeks limited relief to preserve the status quo and prevent title-laundering via declaratory-title proceedings.</w:t>
      </w:r>
    </w:p>
    <w:p>
      <w:r>
        <w:rPr>
          <w:b/>
        </w:rPr>
        <w:t>3. LEGAL STANDARD</w:t>
      </w:r>
    </w:p>
    <w:p>
      <w:pPr>
        <w:ind w:firstLine="720"/>
      </w:pPr>
      <w:r>
        <w:rPr>
          <w:b w:val="0"/>
        </w:rPr>
        <w:t>Temporary restraining orders and preliminary injunctions are governed by MCR 3.310. The purpose is to preserve the status quo and prevent irreparable harm pending adjudication on the merits.</w:t>
      </w:r>
    </w:p>
    <w:p>
      <w:r>
        <w:rPr>
          <w:b/>
        </w:rPr>
        <w:t>4. ARGUMENT (SUMMARY)</w:t>
      </w:r>
    </w:p>
    <w:p>
      <w:pPr>
        <w:ind w:firstLine="720"/>
      </w:pPr>
      <w:r>
        <w:rPr>
          <w:b w:val="0"/>
        </w:rPr>
        <w:t>Plaintiff is likely to succeed on statutory conversion/conversion and title-disparagement/interference claims; irreparable harm is imminent due to threatened sale/transfer and the risk of declaratory-title action; balance of harms favors preservation; and public interest favors preventing unlawful conversion and title interference.</w:t>
      </w:r>
    </w:p>
    <w:p>
      <w:r>
        <w:rPr>
          <w:b/>
        </w:rPr>
        <w:t>5. VERIFICATION</w:t>
      </w:r>
    </w:p>
    <w:p>
      <w:pPr>
        <w:ind w:firstLine="720"/>
      </w:pPr>
      <w:r>
        <w:rPr>
          <w:b w:val="0"/>
        </w:rPr>
        <w:t>I declare under penalty of perjury that the foregoing is true to the best of my information, knowledge, and belief.</w:t>
      </w:r>
    </w:p>
    <w:p>
      <w:r>
        <w:rPr>
          <w:b w:val="0"/>
        </w:rPr>
      </w:r>
    </w:p>
    <w:p>
      <w:r>
        <w:rPr>
          <w:b w:val="0"/>
        </w:rPr>
        <w:t>Dated: February 25, 2026</w:t>
      </w:r>
    </w:p>
    <w:p>
      <w:r>
        <w:rPr>
          <w:b w:val="0"/>
        </w:rPr>
        <w:t>__________________________________</w:t>
      </w:r>
    </w:p>
    <w:p>
      <w:r>
        <w:rPr>
          <w:b w:val="0"/>
        </w:rPr>
        <w:t>Andrew J. Pigors,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