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FOR MODIFICATION OF CHILD SUPPORT</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pStyle w:val="Heading2"/>
      </w:pPr>
      <w:r>
        <w:rPr>
          <w:rFonts w:ascii="Times New Roman" w:hAnsi="Times New Roman"/>
        </w:rPr>
        <w:t>MOTION FOR MODIFICATION OF CHILD SUPPORT AND FOR REIMBURSEMENT OF COSTS INCURRED DUE TO WRONGFUL DENIAL OF PARENTING TIME</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minimum notice).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MCL 552.517 (Modification of Support Orders), MCL 722.27a(7) (Parenting Time Enforcement/Contempt), and the Michigan Child Support Formula, for an Order modifying the existing child support obligation and requiring Defendant/Mother to reimburse Father for costs incurred as a result of her wrongful denial of court-ordered parenting time,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Father has been denied ALL parenting time with the minor child, Lincoln James Pigors (DOB: November 9, 2022), for </w:t>
      </w:r>
      <w:r>
        <w:rPr>
          <w:rFonts w:ascii="Times New Roman" w:hAnsi="Times New Roman"/>
          <w:b/>
          <w:i w:val="0"/>
          <w:sz w:val="24"/>
        </w:rPr>
        <w:t>329+ consecutive days</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During this period, Mother has exercised </w:t>
      </w:r>
      <w:r>
        <w:rPr>
          <w:rFonts w:ascii="Times New Roman" w:hAnsi="Times New Roman"/>
          <w:b/>
          <w:i w:val="0"/>
          <w:sz w:val="24"/>
        </w:rPr>
        <w:t>100% of custodial time</w:t>
      </w:r>
      <w:r>
        <w:rPr>
          <w:rFonts w:ascii="Times New Roman" w:hAnsi="Times New Roman"/>
          <w:b w:val="0"/>
          <w:i w:val="0"/>
          <w:sz w:val="24"/>
        </w:rPr>
        <w:t xml:space="preserve"> with the child. Father has exercised </w:t>
      </w:r>
      <w:r>
        <w:rPr>
          <w:rFonts w:ascii="Times New Roman" w:hAnsi="Times New Roman"/>
          <w:b/>
          <w:i w:val="0"/>
          <w:sz w:val="24"/>
        </w:rPr>
        <w:t>0%</w:t>
      </w:r>
      <w:r>
        <w:rPr>
          <w:rFonts w:ascii="Times New Roman" w:hAnsi="Times New Roman"/>
          <w:b w:val="0"/>
          <w:i w:val="0"/>
          <w:sz w:val="24"/>
        </w:rPr>
        <w:t xml:space="preserve"> of custodial time.</w:t>
      </w:r>
    </w:p>
    <w:p>
      <w:pPr>
        <w:spacing w:line="480" w:lineRule="auto" w:after="0" w:before="0"/>
      </w:pPr>
      <w:r>
        <w:rPr>
          <w:rFonts w:ascii="Times New Roman" w:hAnsi="Times New Roman"/>
          <w:b/>
          <w:sz w:val="24"/>
        </w:rPr>
        <w:t xml:space="preserve">3. </w:t>
      </w:r>
      <w:r>
        <w:rPr>
          <w:rFonts w:ascii="Times New Roman" w:hAnsi="Times New Roman"/>
          <w:b w:val="0"/>
          <w:i w:val="0"/>
          <w:sz w:val="24"/>
        </w:rPr>
        <w:t>The existing child support order does not reflect this actual custodial arrangement. The Michigan Child Support Formula requires that child support calculations be based on the actual number of overnights each parent exercises. A modification is warranted to reflect reality.</w:t>
      </w:r>
    </w:p>
    <w:p>
      <w:pPr>
        <w:spacing w:line="480" w:lineRule="auto" w:after="0" w:before="0"/>
      </w:pPr>
      <w:r>
        <w:rPr>
          <w:rFonts w:ascii="Times New Roman" w:hAnsi="Times New Roman"/>
          <w:b/>
          <w:sz w:val="24"/>
        </w:rPr>
        <w:t xml:space="preserve">4. </w:t>
      </w:r>
      <w:r>
        <w:rPr>
          <w:rFonts w:ascii="Times New Roman" w:hAnsi="Times New Roman"/>
          <w:b w:val="0"/>
          <w:i w:val="0"/>
          <w:sz w:val="24"/>
        </w:rPr>
        <w:t>Additionally, Mother's wrongful denial of Father's parenting time — in violation of court orders — has caused Father to incur substantial costs. MCL 722.27a(7) authorizes the Court to order a parent who wrongfully denies parenting time to pay the other parent's costs.</w:t>
      </w:r>
    </w:p>
    <w:p>
      <w:r>
        <w:br w:type="page"/>
      </w:r>
    </w:p>
    <w:p>
      <w:pPr>
        <w:pStyle w:val="Heading3"/>
      </w:pPr>
      <w:r>
        <w:rPr>
          <w:rFonts w:ascii="Times New Roman" w:hAnsi="Times New Roman"/>
        </w:rPr>
        <w:t>II. FACTUAL BACKGROUND</w:t>
      </w:r>
    </w:p>
    <w:p>
      <w:pPr>
        <w:keepNext/>
        <w:spacing w:line="480" w:lineRule="auto" w:after="0" w:before="0"/>
      </w:pPr>
      <w:r>
        <w:rPr>
          <w:rFonts w:ascii="Times New Roman" w:hAnsi="Times New Roman"/>
          <w:b/>
          <w:i w:val="0"/>
          <w:sz w:val="24"/>
        </w:rPr>
        <w:t>A. The Parenting Time Trajectory</w:t>
      </w:r>
    </w:p>
    <w:p>
      <w:pPr>
        <w:spacing w:line="480" w:lineRule="auto" w:after="0" w:before="0"/>
      </w:pPr>
      <w:r>
        <w:rPr>
          <w:rFonts w:ascii="Times New Roman" w:hAnsi="Times New Roman"/>
          <w:b/>
          <w:sz w:val="24"/>
        </w:rPr>
        <w:t xml:space="preserve">5. </w:t>
      </w:r>
      <w:r>
        <w:rPr>
          <w:rFonts w:ascii="Times New Roman" w:hAnsi="Times New Roman"/>
          <w:b w:val="0"/>
          <w:i w:val="0"/>
          <w:sz w:val="24"/>
        </w:rPr>
        <w:t>The history of Father's parenting time demonstrates the systematic elimination of his relationship with Lincoln: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 Arrangement</w:t>
            </w:r>
          </w:p>
        </w:tc>
        <w:tc>
          <w:tcPr>
            <w:tcW w:type="dxa" w:w="3120"/>
          </w:tcPr>
          <w:p>
            <w:pPr>
              <w:spacing w:line="240" w:lineRule="auto"/>
            </w:pPr>
            <w:r/>
            <w:r>
              <w:rPr>
                <w:rFonts w:ascii="Times New Roman" w:hAnsi="Times New Roman"/>
                <w:b/>
                <w:sz w:val="24"/>
              </w:rPr>
              <w:t>Father's Overnights</w:t>
            </w:r>
          </w:p>
        </w:tc>
      </w:tr>
      <w:tr>
        <w:tc>
          <w:tcPr>
            <w:tcW w:type="dxa" w:w="3120"/>
          </w:tcPr>
          <w:p>
            <w:pPr>
              <w:spacing w:line="240" w:lineRule="auto"/>
            </w:pPr>
            <w:r/>
            <w:r>
              <w:rPr>
                <w:rFonts w:ascii="Times New Roman" w:hAnsi="Times New Roman"/>
                <w:b w:val="0"/>
                <w:i w:val="0"/>
                <w:sz w:val="24"/>
              </w:rPr>
              <w:t>Pre-July 2024</w:t>
            </w:r>
          </w:p>
        </w:tc>
        <w:tc>
          <w:tcPr>
            <w:tcW w:type="dxa" w:w="3120"/>
          </w:tcPr>
          <w:p>
            <w:pPr>
              <w:spacing w:line="240" w:lineRule="auto"/>
            </w:pPr>
            <w:r/>
            <w:r>
              <w:rPr>
                <w:rFonts w:ascii="Times New Roman" w:hAnsi="Times New Roman"/>
                <w:b w:val="0"/>
                <w:i w:val="0"/>
                <w:sz w:val="24"/>
              </w:rPr>
              <w:t>50/50 equal parenting time</w:t>
            </w:r>
          </w:p>
        </w:tc>
        <w:tc>
          <w:tcPr>
            <w:tcW w:type="dxa" w:w="3120"/>
          </w:tcPr>
          <w:p>
            <w:pPr>
              <w:spacing w:line="240" w:lineRule="auto"/>
            </w:pPr>
            <w:r/>
            <w:r>
              <w:rPr>
                <w:rFonts w:ascii="Times New Roman" w:hAnsi="Times New Roman"/>
                <w:b w:val="0"/>
                <w:i w:val="0"/>
                <w:sz w:val="24"/>
              </w:rPr>
              <w:t>~182.5 overnights/year</w:t>
            </w:r>
          </w:p>
        </w:tc>
      </w:tr>
      <w:tr>
        <w:tc>
          <w:tcPr>
            <w:tcW w:type="dxa" w:w="3120"/>
          </w:tcPr>
          <w:p>
            <w:pPr>
              <w:spacing w:line="240" w:lineRule="auto"/>
            </w:pPr>
            <w:r/>
            <w:r>
              <w:rPr>
                <w:rFonts w:ascii="Times New Roman" w:hAnsi="Times New Roman"/>
                <w:b w:val="0"/>
                <w:i w:val="0"/>
                <w:sz w:val="24"/>
              </w:rPr>
              <w:t>July 2024</w:t>
            </w:r>
          </w:p>
        </w:tc>
        <w:tc>
          <w:tcPr>
            <w:tcW w:type="dxa" w:w="3120"/>
          </w:tcPr>
          <w:p>
            <w:pPr>
              <w:spacing w:line="240" w:lineRule="auto"/>
            </w:pPr>
            <w:r/>
            <w:r>
              <w:rPr>
                <w:rFonts w:ascii="Times New Roman" w:hAnsi="Times New Roman"/>
                <w:b w:val="0"/>
                <w:i w:val="0"/>
                <w:sz w:val="24"/>
              </w:rPr>
              <w:t>Court-modified schedule</w:t>
            </w:r>
          </w:p>
        </w:tc>
        <w:tc>
          <w:tcPr>
            <w:tcW w:type="dxa" w:w="3120"/>
          </w:tcPr>
          <w:p>
            <w:pPr>
              <w:spacing w:line="240" w:lineRule="auto"/>
            </w:pPr>
            <w:r/>
            <w:r>
              <w:rPr>
                <w:rFonts w:ascii="Times New Roman" w:hAnsi="Times New Roman"/>
                <w:b w:val="0"/>
                <w:i w:val="0"/>
                <w:sz w:val="24"/>
              </w:rPr>
              <w:t>79 overnights/year</w:t>
            </w:r>
          </w:p>
        </w:tc>
      </w:tr>
      <w:tr>
        <w:tc>
          <w:tcPr>
            <w:tcW w:type="dxa" w:w="3120"/>
          </w:tcPr>
          <w:p>
            <w:pPr>
              <w:spacing w:line="240" w:lineRule="auto"/>
            </w:pPr>
            <w:r/>
            <w:r>
              <w:rPr>
                <w:rFonts w:ascii="Times New Roman" w:hAnsi="Times New Roman"/>
                <w:b w:val="0"/>
                <w:i w:val="0"/>
                <w:sz w:val="24"/>
              </w:rPr>
              <w:t>August 2025</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val="0"/>
                <w:i w:val="0"/>
                <w:sz w:val="24"/>
              </w:rPr>
              <w:t>0 overnights/year</w:t>
            </w:r>
          </w:p>
        </w:tc>
      </w:tr>
      <w:tr>
        <w:tc>
          <w:tcPr>
            <w:tcW w:type="dxa" w:w="3120"/>
          </w:tcPr>
          <w:p>
            <w:pPr>
              <w:spacing w:line="240" w:lineRule="auto"/>
            </w:pPr>
            <w:r/>
            <w:r>
              <w:rPr>
                <w:rFonts w:ascii="Times New Roman" w:hAnsi="Times New Roman"/>
                <w:b w:val="0"/>
                <w:i w:val="0"/>
                <w:sz w:val="24"/>
              </w:rPr>
              <w:t>August 2025 – Present</w:t>
            </w:r>
          </w:p>
        </w:tc>
        <w:tc>
          <w:tcPr>
            <w:tcW w:type="dxa" w:w="3120"/>
          </w:tcPr>
          <w:p>
            <w:pPr>
              <w:spacing w:line="240" w:lineRule="auto"/>
            </w:pPr>
            <w:r/>
            <w:r>
              <w:rPr>
                <w:rFonts w:ascii="Times New Roman" w:hAnsi="Times New Roman"/>
                <w:b w:val="0"/>
                <w:i w:val="0"/>
                <w:sz w:val="24"/>
              </w:rPr>
              <w:t>Total denial</w:t>
            </w:r>
          </w:p>
        </w:tc>
        <w:tc>
          <w:tcPr>
            <w:tcW w:type="dxa" w:w="3120"/>
          </w:tcPr>
          <w:p>
            <w:pPr>
              <w:spacing w:line="240" w:lineRule="auto"/>
            </w:pPr>
            <w:r/>
            <w:r>
              <w:rPr>
                <w:rFonts w:ascii="Times New Roman" w:hAnsi="Times New Roman"/>
                <w:b w:val="0"/>
                <w:i w:val="0"/>
                <w:sz w:val="24"/>
              </w:rPr>
              <w:t>0 overnights (329+ days)</w:t>
            </w:r>
          </w:p>
        </w:tc>
      </w:tr>
    </w:tbl>
    <w:p>
      <w:pPr>
        <w:spacing w:line="480" w:lineRule="auto" w:after="0" w:before="0"/>
      </w:pPr>
      <w:r>
        <w:rPr>
          <w:rFonts w:ascii="Times New Roman" w:hAnsi="Times New Roman"/>
          <w:b/>
          <w:sz w:val="24"/>
        </w:rPr>
        <w:t xml:space="preserve">6. </w:t>
      </w:r>
      <w:r>
        <w:rPr>
          <w:rFonts w:ascii="Times New Roman" w:hAnsi="Times New Roman"/>
          <w:b w:val="0"/>
          <w:i w:val="0"/>
          <w:sz w:val="24"/>
        </w:rPr>
        <w:t>Father went from an equal parent exercising 50% of custodial time to having ZERO contact with his child. This complete severance occurred through a series of orders obtained largely through ex parte proceedings, unauthenticated evidence, and false allegations — all of which have been challenged on appeal (COA Case No. 366810).</w:t>
      </w:r>
    </w:p>
    <w:p>
      <w:pPr>
        <w:keepNext/>
        <w:spacing w:line="480" w:lineRule="auto" w:after="0" w:before="0"/>
      </w:pPr>
      <w:r>
        <w:rPr>
          <w:rFonts w:ascii="Times New Roman" w:hAnsi="Times New Roman"/>
          <w:b/>
          <w:i w:val="0"/>
          <w:sz w:val="24"/>
        </w:rPr>
        <w:t>B. Mother's 100% Custodial Time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Mother was awarded </w:t>
      </w:r>
      <w:r>
        <w:rPr>
          <w:rFonts w:ascii="Times New Roman" w:hAnsi="Times New Roman"/>
          <w:b/>
          <w:i w:val="0"/>
          <w:sz w:val="24"/>
        </w:rPr>
        <w:t>sole physical custody AND sole legal custody</w:t>
      </w:r>
      <w:r>
        <w:rPr>
          <w:rFonts w:ascii="Times New Roman" w:hAnsi="Times New Roman"/>
          <w:b w:val="0"/>
          <w:i w:val="0"/>
          <w:sz w:val="24"/>
        </w:rPr>
        <w:t xml:space="preserve"> of the minor child. The Court's order, confirmed in the document dated August 30, 2025 (NoReply_20250830_101947.pdf), expressly granted these terms.</w:t>
      </w:r>
    </w:p>
    <w:p>
      <w:pPr>
        <w:spacing w:line="480" w:lineRule="auto" w:after="0" w:before="0"/>
      </w:pPr>
      <w:r>
        <w:rPr>
          <w:rFonts w:ascii="Times New Roman" w:hAnsi="Times New Roman"/>
          <w:b/>
          <w:sz w:val="24"/>
        </w:rPr>
        <w:t xml:space="preserve">8. </w:t>
      </w:r>
      <w:r>
        <w:rPr>
          <w:rFonts w:ascii="Times New Roman" w:hAnsi="Times New Roman"/>
          <w:b w:val="0"/>
          <w:i w:val="0"/>
          <w:sz w:val="24"/>
        </w:rPr>
        <w:t>The Court also granted "Defendant's Objection to equal parenting time" — the specific language from the order confirms that the Court was aware it was eliminating Father's parenting time at Mother's request.</w:t>
      </w:r>
    </w:p>
    <w:p>
      <w:pPr>
        <w:spacing w:line="480" w:lineRule="auto" w:after="0" w:before="0"/>
      </w:pPr>
      <w:r>
        <w:rPr>
          <w:rFonts w:ascii="Times New Roman" w:hAnsi="Times New Roman"/>
          <w:b/>
          <w:sz w:val="24"/>
        </w:rPr>
        <w:t xml:space="preserve">9. </w:t>
      </w:r>
      <w:r>
        <w:rPr>
          <w:rFonts w:ascii="Times New Roman" w:hAnsi="Times New Roman"/>
          <w:b w:val="0"/>
          <w:i w:val="0"/>
          <w:sz w:val="24"/>
        </w:rPr>
        <w:t>Mother has exercised 100% of custodial time for 329+ consecutive days. Father has not seen, spoken to, or had any contact with his three-year-old son during this entire period.</w:t>
      </w:r>
    </w:p>
    <w:p>
      <w:pPr>
        <w:keepNext/>
        <w:spacing w:line="480" w:lineRule="auto" w:after="0" w:before="0"/>
      </w:pPr>
      <w:r>
        <w:rPr>
          <w:rFonts w:ascii="Times New Roman" w:hAnsi="Times New Roman"/>
          <w:b/>
          <w:i w:val="0"/>
          <w:sz w:val="24"/>
        </w:rPr>
        <w:t>C. Wrongful Denial of Parenting Time</w:t>
      </w:r>
    </w:p>
    <w:p>
      <w:pPr>
        <w:spacing w:line="480" w:lineRule="auto" w:after="0" w:before="0"/>
      </w:pPr>
      <w:r>
        <w:rPr>
          <w:rFonts w:ascii="Times New Roman" w:hAnsi="Times New Roman"/>
          <w:b/>
          <w:sz w:val="24"/>
        </w:rPr>
        <w:t xml:space="preserve">10. </w:t>
      </w:r>
      <w:r>
        <w:rPr>
          <w:rFonts w:ascii="Times New Roman" w:hAnsi="Times New Roman"/>
          <w:b w:val="0"/>
          <w:i w:val="0"/>
          <w:sz w:val="24"/>
        </w:rPr>
        <w:t>Mother has engaged in a pattern of denying Father's parenting time in violation of court orders. This pattern is documented in police reports, court records, and text messages.</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withholding of parenting time began in earnest on or about </w:t>
      </w:r>
      <w:r>
        <w:rPr>
          <w:rFonts w:ascii="Times New Roman" w:hAnsi="Times New Roman"/>
          <w:b/>
          <w:i w:val="0"/>
          <w:sz w:val="24"/>
        </w:rPr>
        <w:t>March 28, 2024</w:t>
      </w:r>
      <w:r>
        <w:rPr>
          <w:rFonts w:ascii="Times New Roman" w:hAnsi="Times New Roman"/>
          <w:b w:val="0"/>
          <w:i w:val="0"/>
          <w:sz w:val="24"/>
        </w:rPr>
        <w:t>, as documented by Norton Shores PD Officer Brian Hintz.</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Lori Watson (Defendant's mother) sent a text message stating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while simultaneously threatening Father with </w:t>
      </w:r>
      <w:r>
        <w:rPr>
          <w:rFonts w:ascii="Times New Roman" w:hAnsi="Times New Roman"/>
          <w:b/>
          <w:i w:val="0"/>
          <w:sz w:val="24"/>
        </w:rPr>
        <w:t>"Trespassing"</w:t>
      </w:r>
      <w:r>
        <w:rPr>
          <w:rFonts w:ascii="Times New Roman" w:hAnsi="Times New Roman"/>
          <w:b w:val="0"/>
          <w:i w:val="0"/>
          <w:sz w:val="24"/>
        </w:rPr>
        <w:t xml:space="preserve"> charges if he came to their home. This text demonstrates a coordinated family effort to exclude Father.</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Each of Father's attempts to exercise his parenting time has been met with false police reports, PPO show-cause filings, or outright refusal. The Norton Shores Police Department has investigated Father on </w:t>
      </w:r>
      <w:r>
        <w:rPr>
          <w:rFonts w:ascii="Times New Roman" w:hAnsi="Times New Roman"/>
          <w:b/>
          <w:i w:val="0"/>
          <w:sz w:val="24"/>
        </w:rPr>
        <w:t>nine (9) separate occasions</w:t>
      </w:r>
      <w:r>
        <w:rPr>
          <w:rFonts w:ascii="Times New Roman" w:hAnsi="Times New Roman"/>
          <w:b w:val="0"/>
          <w:i w:val="0"/>
          <w:sz w:val="24"/>
        </w:rPr>
        <w:t xml:space="preserve"> (NSPD-2023-08121, NSPD-2023-08183, NSPD-2024-01944, NSPD-2024-02001, NSPD-2024-02086, NS2500783, NS2505044, NS2505078) and found </w:t>
      </w:r>
      <w:r>
        <w:rPr>
          <w:rFonts w:ascii="Times New Roman" w:hAnsi="Times New Roman"/>
          <w:b/>
          <w:i w:val="0"/>
          <w:sz w:val="24"/>
        </w:rPr>
        <w:t>zero violations, zero arrests, and zero charges</w:t>
      </w:r>
      <w:r>
        <w:rPr>
          <w:rFonts w:ascii="Times New Roman" w:hAnsi="Times New Roman"/>
          <w:b w:val="0"/>
          <w:i w:val="0"/>
          <w:sz w:val="24"/>
        </w:rPr>
        <w:t xml:space="preserve"> in every instance. The Watson family's strategy of filing serial police reports — three within the same week in August 2025 — was designed to manufacture a paper trail to support litigation, not to address genuine safety concerns.</w:t>
      </w:r>
    </w:p>
    <w:p>
      <w:pPr>
        <w:spacing w:line="480" w:lineRule="auto" w:after="0" w:before="0"/>
      </w:pPr>
      <w:r>
        <w:rPr>
          <w:rFonts w:ascii="Times New Roman" w:hAnsi="Times New Roman"/>
          <w:b w:val="0"/>
          <w:i w:val="0"/>
          <w:sz w:val="24"/>
        </w:rPr>
        <w:t xml:space="preserve">13A. </w:t>
      </w:r>
      <w:r>
        <w:rPr>
          <w:rFonts w:ascii="Times New Roman" w:hAnsi="Times New Roman"/>
          <w:b/>
          <w:i w:val="0"/>
          <w:sz w:val="24"/>
        </w:rPr>
        <w:t>Documented Withholding Periods Supporting Modification: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Days</w:t>
            </w:r>
          </w:p>
        </w:tc>
        <w:tc>
          <w:tcPr>
            <w:tcW w:type="dxa" w:w="2340"/>
          </w:tcPr>
          <w:p>
            <w:pPr>
              <w:spacing w:line="240" w:lineRule="auto"/>
            </w:pPr>
            <w:r/>
            <w:r>
              <w:rPr>
                <w:rFonts w:ascii="Times New Roman" w:hAnsi="Times New Roman"/>
                <w:b/>
                <w:sz w:val="24"/>
              </w:rPr>
              <w:t>Mechanism</w:t>
            </w:r>
          </w:p>
        </w:tc>
        <w:tc>
          <w:tcPr>
            <w:tcW w:type="dxa" w:w="2340"/>
          </w:tcPr>
          <w:p>
            <w:pPr>
              <w:spacing w:line="240" w:lineRule="auto"/>
            </w:pPr>
            <w:r/>
            <w:r>
              <w:rPr>
                <w:rFonts w:ascii="Times New Roman" w:hAnsi="Times New Roman"/>
                <w:b/>
                <w:sz w:val="24"/>
              </w:rPr>
              <w:t>Support Obligation Continued?</w:t>
            </w:r>
          </w:p>
        </w:tc>
      </w:tr>
      <w:tr>
        <w:tc>
          <w:tcPr>
            <w:tcW w:type="dxa" w:w="2340"/>
          </w:tcPr>
          <w:p>
            <w:pPr>
              <w:spacing w:line="240" w:lineRule="auto"/>
            </w:pPr>
            <w:r/>
            <w:r>
              <w:rPr>
                <w:rFonts w:ascii="Times New Roman" w:hAnsi="Times New Roman"/>
                <w:b w:val="0"/>
                <w:i w:val="0"/>
                <w:sz w:val="24"/>
              </w:rPr>
              <w:t>Mar 26 – May 5, 2024</w:t>
            </w:r>
          </w:p>
        </w:tc>
        <w:tc>
          <w:tcPr>
            <w:tcW w:type="dxa" w:w="2340"/>
          </w:tcPr>
          <w:p>
            <w:pPr>
              <w:spacing w:line="240" w:lineRule="auto"/>
            </w:pPr>
            <w:r/>
            <w:r>
              <w:rPr>
                <w:rFonts w:ascii="Times New Roman" w:hAnsi="Times New Roman"/>
                <w:b w:val="0"/>
                <w:i w:val="0"/>
                <w:sz w:val="24"/>
              </w:rPr>
              <w:t>41</w:t>
            </w:r>
          </w:p>
        </w:tc>
        <w:tc>
          <w:tcPr>
            <w:tcW w:type="dxa" w:w="2340"/>
          </w:tcPr>
          <w:p>
            <w:pPr>
              <w:spacing w:line="240" w:lineRule="auto"/>
            </w:pPr>
            <w:r/>
            <w:r>
              <w:rPr>
                <w:rFonts w:ascii="Times New Roman" w:hAnsi="Times New Roman"/>
                <w:b w:val="0"/>
                <w:i w:val="0"/>
                <w:sz w:val="24"/>
              </w:rPr>
              <w:t>Watson family refused access (NSPD-2024-01944)</w:t>
            </w:r>
          </w:p>
        </w:tc>
        <w:tc>
          <w:tcPr>
            <w:tcW w:type="dxa" w:w="2340"/>
          </w:tcPr>
          <w:p>
            <w:pPr>
              <w:spacing w:line="240" w:lineRule="auto"/>
            </w:pPr>
            <w:r/>
            <w:r>
              <w:rPr>
                <w:rFonts w:ascii="Times New Roman" w:hAnsi="Times New Roman"/>
                <w:b/>
                <w:i w:val="0"/>
                <w:sz w:val="24"/>
              </w:rPr>
              <w:t>Yes</w:t>
            </w:r>
          </w:p>
        </w:tc>
      </w:tr>
      <w:tr>
        <w:tc>
          <w:tcPr>
            <w:tcW w:type="dxa" w:w="2340"/>
          </w:tcPr>
          <w:p>
            <w:pPr>
              <w:spacing w:line="240" w:lineRule="auto"/>
            </w:pPr>
            <w:r/>
            <w:r>
              <w:rPr>
                <w:rFonts w:ascii="Times New Roman" w:hAnsi="Times New Roman"/>
                <w:b w:val="0"/>
                <w:i w:val="0"/>
                <w:sz w:val="24"/>
              </w:rPr>
              <w:t>Oct 20 – Nov 15, 2024</w:t>
            </w:r>
          </w:p>
        </w:tc>
        <w:tc>
          <w:tcPr>
            <w:tcW w:type="dxa" w:w="2340"/>
          </w:tcPr>
          <w:p>
            <w:pPr>
              <w:spacing w:line="240" w:lineRule="auto"/>
            </w:pPr>
            <w:r/>
            <w:r>
              <w:rPr>
                <w:rFonts w:ascii="Times New Roman" w:hAnsi="Times New Roman"/>
                <w:b w:val="0"/>
                <w:i w:val="0"/>
                <w:sz w:val="24"/>
              </w:rPr>
              <w:t>27</w:t>
            </w:r>
          </w:p>
        </w:tc>
        <w:tc>
          <w:tcPr>
            <w:tcW w:type="dxa" w:w="2340"/>
          </w:tcPr>
          <w:p>
            <w:pPr>
              <w:spacing w:line="240" w:lineRule="auto"/>
            </w:pPr>
            <w:r/>
            <w:r>
              <w:rPr>
                <w:rFonts w:ascii="Times New Roman" w:hAnsi="Times New Roman"/>
                <w:b w:val="0"/>
                <w:i w:val="0"/>
                <w:sz w:val="24"/>
              </w:rPr>
              <w:t>Mother withheld; Father reported at Oct 30 hearing</w:t>
            </w:r>
          </w:p>
        </w:tc>
        <w:tc>
          <w:tcPr>
            <w:tcW w:type="dxa" w:w="2340"/>
          </w:tcPr>
          <w:p>
            <w:pPr>
              <w:spacing w:line="240" w:lineRule="auto"/>
            </w:pPr>
            <w:r/>
            <w:r>
              <w:rPr>
                <w:rFonts w:ascii="Times New Roman" w:hAnsi="Times New Roman"/>
                <w:b/>
                <w:i w:val="0"/>
                <w:sz w:val="24"/>
              </w:rPr>
              <w:t>Yes</w:t>
            </w:r>
          </w:p>
        </w:tc>
      </w:tr>
      <w:tr>
        <w:tc>
          <w:tcPr>
            <w:tcW w:type="dxa" w:w="2340"/>
          </w:tcPr>
          <w:p>
            <w:pPr>
              <w:spacing w:line="240" w:lineRule="auto"/>
            </w:pPr>
            <w:r/>
            <w:r>
              <w:rPr>
                <w:rFonts w:ascii="Times New Roman" w:hAnsi="Times New Roman"/>
                <w:b w:val="0"/>
                <w:i w:val="0"/>
                <w:sz w:val="24"/>
              </w:rPr>
              <w:t>Aug 8, 2025 – present</w:t>
            </w:r>
          </w:p>
        </w:tc>
        <w:tc>
          <w:tcPr>
            <w:tcW w:type="dxa" w:w="2340"/>
          </w:tcPr>
          <w:p>
            <w:pPr>
              <w:spacing w:line="240" w:lineRule="auto"/>
            </w:pPr>
            <w:r/>
            <w:r>
              <w:rPr>
                <w:rFonts w:ascii="Times New Roman" w:hAnsi="Times New Roman"/>
                <w:b w:val="0"/>
                <w:i w:val="0"/>
                <w:sz w:val="24"/>
              </w:rPr>
              <w:t>200+</w:t>
            </w:r>
          </w:p>
        </w:tc>
        <w:tc>
          <w:tcPr>
            <w:tcW w:type="dxa" w:w="2340"/>
          </w:tcPr>
          <w:p>
            <w:pPr>
              <w:spacing w:line="240" w:lineRule="auto"/>
            </w:pPr>
            <w:r/>
            <w:r>
              <w:rPr>
                <w:rFonts w:ascii="Times New Roman" w:hAnsi="Times New Roman"/>
                <w:b w:val="0"/>
                <w:i w:val="0"/>
                <w:sz w:val="24"/>
              </w:rPr>
              <w:t>Ex parte suspension — no hearing</w:t>
            </w:r>
          </w:p>
        </w:tc>
        <w:tc>
          <w:tcPr>
            <w:tcW w:type="dxa" w:w="2340"/>
          </w:tcPr>
          <w:p>
            <w:pPr>
              <w:spacing w:line="240" w:lineRule="auto"/>
            </w:pPr>
            <w:r/>
            <w:r>
              <w:rPr>
                <w:rFonts w:ascii="Times New Roman" w:hAnsi="Times New Roman"/>
                <w:b/>
                <w:i w:val="0"/>
                <w:sz w:val="24"/>
              </w:rPr>
              <w:t>Yes</w:t>
            </w:r>
          </w:p>
        </w:tc>
      </w:tr>
      <w:tr>
        <w:tc>
          <w:tcPr>
            <w:tcW w:type="dxa" w:w="2340"/>
          </w:tcPr>
          <w:p>
            <w:pPr>
              <w:spacing w:line="240" w:lineRule="auto"/>
            </w:pPr>
            <w:r/>
            <w:r>
              <w:rPr>
                <w:rFonts w:ascii="Times New Roman" w:hAnsi="Times New Roman"/>
                <w:b/>
                <w:i w:val="0"/>
                <w:sz w:val="24"/>
              </w:rPr>
              <w:t>TOTAL</w:t>
            </w:r>
          </w:p>
        </w:tc>
        <w:tc>
          <w:tcPr>
            <w:tcW w:type="dxa" w:w="2340"/>
          </w:tcPr>
          <w:p>
            <w:pPr>
              <w:spacing w:line="240" w:lineRule="auto"/>
            </w:pPr>
            <w:r/>
            <w:r>
              <w:rPr>
                <w:rFonts w:ascii="Times New Roman" w:hAnsi="Times New Roman"/>
                <w:b/>
                <w:i w:val="0"/>
                <w:sz w:val="24"/>
              </w:rPr>
              <w:t>268+</w:t>
            </w:r>
          </w:p>
        </w:tc>
        <w:tc>
          <w:tcPr>
            <w:tcW w:type="dxa" w:w="2340"/>
          </w:tcPr>
          <w:p>
            <w:pPr>
              <w:spacing w:line="240" w:lineRule="auto"/>
            </w:pPr>
            <w:r/>
            <w:r>
              <w:rPr>
                <w:rFonts w:ascii="Times New Roman" w:hAnsi="Times New Roman"/>
                <w:b w:val="0"/>
                <w:i w:val="0"/>
                <w:sz w:val="24"/>
              </w:rPr>
              <w:t>Plus ad hoc denials in AppClose logs</w:t>
            </w:r>
          </w:p>
        </w:tc>
        <w:tc>
          <w:tcPr>
            <w:tcW w:type="dxa" w:w="2340"/>
          </w:tcPr>
          <w:p>
            <w:pPr>
              <w:spacing w:line="240" w:lineRule="auto"/>
            </w:pPr>
            <w:r/>
            <w:r>
              <w:rPr>
                <w:rFonts w:ascii="Times New Roman" w:hAnsi="Times New Roman"/>
                <w:b/>
                <w:i w:val="0"/>
                <w:sz w:val="24"/>
              </w:rPr>
              <w:t>$0 credit</w:t>
            </w:r>
          </w:p>
        </w:tc>
      </w:tr>
    </w:tbl>
    <w:p>
      <w:pPr>
        <w:spacing w:line="480" w:lineRule="auto" w:after="0" w:before="0"/>
      </w:pPr>
      <w:r>
        <w:rPr>
          <w:rFonts w:ascii="Times New Roman" w:hAnsi="Times New Roman"/>
          <w:b w:val="0"/>
          <w:i w:val="0"/>
          <w:sz w:val="24"/>
        </w:rPr>
        <w:t>During these 268+ days, Father was denied all contact with L.D.W. yet continued paying child support as ordered. Under MCL 552.605d and Michigan's child support formula, overnights directly affect the support calculation. Where Mother unilaterally denied the overnights that Father was entitled to, and Father's support obligation was calculated assuming those overnights would occur, Father has been systematically overcharged.</w:t>
      </w:r>
    </w:p>
    <w:p>
      <w:r>
        <w:br w:type="page"/>
      </w:r>
    </w:p>
    <w:p>
      <w:pPr>
        <w:pStyle w:val="Heading3"/>
      </w:pPr>
      <w:r>
        <w:rPr>
          <w:rFonts w:ascii="Times New Roman" w:hAnsi="Times New Roman"/>
        </w:rPr>
        <w:t>III. LEGAL BASIS FOR CHILD SUPPORT MODIFICATION</w:t>
      </w:r>
    </w:p>
    <w:p>
      <w:pPr>
        <w:keepNext/>
        <w:spacing w:line="480" w:lineRule="auto" w:after="0" w:before="0"/>
      </w:pPr>
      <w:r>
        <w:rPr>
          <w:rFonts w:ascii="Times New Roman" w:hAnsi="Times New Roman"/>
          <w:b/>
          <w:i w:val="0"/>
          <w:sz w:val="24"/>
        </w:rPr>
        <w:t>A. MCL 552.517 — Change in Circumstances</w:t>
      </w:r>
    </w:p>
    <w:p>
      <w:pPr>
        <w:spacing w:line="480" w:lineRule="auto" w:after="0" w:before="0"/>
      </w:pPr>
      <w:r>
        <w:rPr>
          <w:rFonts w:ascii="Times New Roman" w:hAnsi="Times New Roman"/>
          <w:b/>
          <w:sz w:val="24"/>
        </w:rPr>
        <w:t xml:space="preserve">14. </w:t>
      </w:r>
      <w:r>
        <w:rPr>
          <w:rFonts w:ascii="Times New Roman" w:hAnsi="Times New Roman"/>
          <w:b w:val="0"/>
          <w:i w:val="0"/>
          <w:sz w:val="24"/>
        </w:rPr>
        <w:t>MCL 552.517(1) provides that a child support order may be modified upon a showing of a change of circumstances.</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complete elimination of Father's parenting time — from 50/50 (182.5 overnights) to ZERO overnights — constitutes a material change of circumstances warranting modification of the support obligation.</w:t>
      </w:r>
    </w:p>
    <w:p>
      <w:pPr>
        <w:spacing w:line="480" w:lineRule="auto" w:after="0" w:before="0"/>
      </w:pPr>
      <w:r>
        <w:rPr>
          <w:rFonts w:ascii="Times New Roman" w:hAnsi="Times New Roman"/>
          <w:b/>
          <w:sz w:val="24"/>
        </w:rPr>
        <w:t xml:space="preserve">16. </w:t>
      </w:r>
      <w:r>
        <w:rPr>
          <w:rFonts w:ascii="Times New Roman" w:hAnsi="Times New Roman"/>
          <w:b w:val="0"/>
          <w:i w:val="0"/>
          <w:sz w:val="24"/>
        </w:rPr>
        <w:t>Under the Michigan Child Support Formula, the number of overnights a child spends with each parent is a central factor in calculating support. When one parent has 100% of overnights and the other has 0%, the formula produces a different result than when parents share time equally or in any other proportion.</w:t>
      </w:r>
    </w:p>
    <w:p>
      <w:pPr>
        <w:keepNext/>
        <w:spacing w:line="480" w:lineRule="auto" w:after="0" w:before="0"/>
      </w:pPr>
      <w:r>
        <w:rPr>
          <w:rFonts w:ascii="Times New Roman" w:hAnsi="Times New Roman"/>
          <w:b/>
          <w:i w:val="0"/>
          <w:sz w:val="24"/>
        </w:rPr>
        <w:t>B. Michigan Child Support Formula — Overnight Calculation</w:t>
      </w:r>
    </w:p>
    <w:p>
      <w:pPr>
        <w:spacing w:line="480" w:lineRule="auto" w:after="0" w:before="0"/>
      </w:pPr>
      <w:r>
        <w:rPr>
          <w:rFonts w:ascii="Times New Roman" w:hAnsi="Times New Roman"/>
          <w:b/>
          <w:sz w:val="24"/>
        </w:rPr>
        <w:t xml:space="preserve">17. </w:t>
      </w:r>
      <w:r>
        <w:rPr>
          <w:rFonts w:ascii="Times New Roman" w:hAnsi="Times New Roman"/>
          <w:b w:val="0"/>
          <w:i w:val="0"/>
          <w:sz w:val="24"/>
        </w:rPr>
        <w:t>The Michigan Child Support Formula uses overnights as a primary input for determining the appropriate level of support. The formula recognizes that a parent exercising more custodial time incurs greater direct costs for the child (housing, food, utilities, transportation, etc.).</w:t>
      </w:r>
    </w:p>
    <w:p>
      <w:pPr>
        <w:spacing w:line="480" w:lineRule="auto" w:after="0" w:before="0"/>
      </w:pPr>
      <w:r>
        <w:rPr>
          <w:rFonts w:ascii="Times New Roman" w:hAnsi="Times New Roman"/>
          <w:b/>
          <w:sz w:val="24"/>
        </w:rPr>
        <w:t xml:space="preserve">18. </w:t>
      </w:r>
      <w:r>
        <w:rPr>
          <w:rFonts w:ascii="Times New Roman" w:hAnsi="Times New Roman"/>
          <w:b w:val="0"/>
          <w:i w:val="0"/>
          <w:sz w:val="24"/>
        </w:rPr>
        <w:t>Mother currently incurs 100% of the direct custodial costs because she has 100% of the overnights. The child support calculation should reflect this reality.</w:t>
      </w:r>
    </w:p>
    <w:p>
      <w:pPr>
        <w:spacing w:line="480" w:lineRule="auto" w:after="0" w:before="0"/>
      </w:pPr>
      <w:r>
        <w:rPr>
          <w:rFonts w:ascii="Times New Roman" w:hAnsi="Times New Roman"/>
          <w:b/>
          <w:sz w:val="24"/>
        </w:rPr>
        <w:t xml:space="preserve">19. </w:t>
      </w:r>
      <w:r>
        <w:rPr>
          <w:rFonts w:ascii="Times New Roman" w:hAnsi="Times New Roman"/>
          <w:b w:val="0"/>
          <w:i w:val="0"/>
          <w:sz w:val="24"/>
        </w:rPr>
        <w:t>Father requests that the Court recalculate child support based on the current actual custodial arrangement: Mother — 365 overnights/year; Father — 0 overnights/year.</w:t>
      </w:r>
    </w:p>
    <w:p>
      <w:r>
        <w:br w:type="page"/>
      </w:r>
    </w:p>
    <w:p>
      <w:pPr>
        <w:pStyle w:val="Heading3"/>
      </w:pPr>
      <w:r>
        <w:rPr>
          <w:rFonts w:ascii="Times New Roman" w:hAnsi="Times New Roman"/>
        </w:rPr>
        <w:t>III-B. MOTHER'S UNDISCLOSED INCOME AND FINANCIAL RESOURCES</w:t>
      </w:r>
    </w:p>
    <w:p>
      <w:pPr>
        <w:spacing w:line="480" w:lineRule="auto" w:after="0" w:before="0"/>
      </w:pPr>
      <w:r>
        <w:rPr>
          <w:rFonts w:ascii="Times New Roman" w:hAnsi="Times New Roman"/>
          <w:b w:val="0"/>
          <w:i w:val="0"/>
          <w:sz w:val="24"/>
        </w:rPr>
        <w:t>19A. Mother's income disclosure is materially incomplete. Discovery and trial testimony reveal the following undisclosed financial resources: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Cody Watson Rental Payments:</w:t>
      </w:r>
      <w:r>
        <w:rPr>
          <w:rFonts w:ascii="Times New Roman" w:hAnsi="Times New Roman"/>
          <w:b w:val="0"/>
          <w:i w:val="0"/>
          <w:sz w:val="24"/>
        </w:rPr>
        <w:t xml:space="preserve"> Cody Watson (Mother's brother) admitted at the custody trial that he makes rental payments to Mother. These payments constitute income or in-kind support that was not disclosed on Mother's income statement filed with the Friend of the Court.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Multiple Bank Accounts:</w:t>
      </w:r>
      <w:r>
        <w:rPr>
          <w:rFonts w:ascii="Times New Roman" w:hAnsi="Times New Roman"/>
          <w:b w:val="0"/>
          <w:i w:val="0"/>
          <w:sz w:val="24"/>
        </w:rPr>
        <w:t xml:space="preserve"> Evidence indicates Mother maintains multiple bank accounts. The totality of these accounts — including any accounts held by or with Watson family members on Mother's behalf — was not disclosed.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Parental Financial Support:</w:t>
      </w:r>
      <w:r>
        <w:rPr>
          <w:rFonts w:ascii="Times New Roman" w:hAnsi="Times New Roman"/>
          <w:b w:val="0"/>
          <w:i w:val="0"/>
          <w:sz w:val="24"/>
        </w:rPr>
        <w:t xml:space="preserve"> Albert and Lori Watson provide material support to Mother, including housing at 2160 Garland Dr, Norton Shores, MI 49441, which reduces Mother's actual living expenses and should be imputed as income under the Michigan Child Support Formula.</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FOIA-Contradicted Insurance Claims:</w:t>
      </w:r>
      <w:r>
        <w:rPr>
          <w:rFonts w:ascii="Times New Roman" w:hAnsi="Times New Roman"/>
          <w:b w:val="0"/>
          <w:i w:val="0"/>
          <w:sz w:val="24"/>
        </w:rPr>
        <w:t xml:space="preserve"> A FOIA request to Mother's employer (Kent County Prosecutor's Office, where she has been employed for approximately nine years) revealed that Mother overstated her insurance payment obligations. The discrepancy between her sworn financial disclosure and the FOIA-verified amounts constitutes a material misrepresentation.</w:t>
      </w:r>
    </w:p>
    <w:p>
      <w:pPr>
        <w:spacing w:line="480" w:lineRule="auto" w:after="0" w:before="0"/>
      </w:pPr>
      <w:r>
        <w:rPr>
          <w:rFonts w:ascii="Times New Roman" w:hAnsi="Times New Roman"/>
          <w:b w:val="0"/>
          <w:i w:val="0"/>
          <w:sz w:val="24"/>
        </w:rPr>
        <w:t xml:space="preserve">19B. </w:t>
      </w:r>
      <w:r>
        <w:rPr>
          <w:rFonts w:ascii="Times New Roman" w:hAnsi="Times New Roman"/>
          <w:b/>
          <w:i w:val="0"/>
          <w:sz w:val="24"/>
        </w:rPr>
        <w:t>Father's Change in Financial Circumstances:</w:t>
      </w:r>
      <w:r>
        <w:rPr>
          <w:rFonts w:ascii="Times New Roman" w:hAnsi="Times New Roman"/>
          <w:b w:val="0"/>
          <w:i w:val="0"/>
          <w:sz w:val="24"/>
        </w:rPr>
        <w:t xml:space="preserve"> In approximately February 2025, Father was criminally held in contempt during PPO proceedings — the alleged basis being "yelling" during a parenting exchange — and was jailed. This jailing directly caused Father's termination from his USPS weekend employment, eliminating a source of income. Father's loss of employment was a direct consequence of the PPO enforcement weaponized by Mother and the Watson family.</w:t>
      </w:r>
    </w:p>
    <w:p>
      <w:r>
        <w:br w:type="page"/>
      </w:r>
    </w:p>
    <w:p>
      <w:pPr>
        <w:pStyle w:val="Heading3"/>
      </w:pPr>
      <w:r>
        <w:rPr>
          <w:rFonts w:ascii="Times New Roman" w:hAnsi="Times New Roman"/>
        </w:rPr>
        <w:t>IV. LEGAL BASIS FOR COST REIMBURSEMENT</w:t>
      </w:r>
    </w:p>
    <w:p>
      <w:pPr>
        <w:keepNext/>
        <w:spacing w:line="480" w:lineRule="auto" w:after="0" w:before="0"/>
      </w:pPr>
      <w:r>
        <w:rPr>
          <w:rFonts w:ascii="Times New Roman" w:hAnsi="Times New Roman"/>
          <w:b/>
          <w:i w:val="0"/>
          <w:sz w:val="24"/>
        </w:rPr>
        <w:t>A. MCL 722.27a(7) — Enforcement of Parenting Time</w:t>
      </w:r>
    </w:p>
    <w:p>
      <w:pPr>
        <w:spacing w:line="480" w:lineRule="auto" w:after="0" w:before="0"/>
      </w:pPr>
      <w:r>
        <w:rPr>
          <w:rFonts w:ascii="Times New Roman" w:hAnsi="Times New Roman"/>
          <w:b/>
          <w:sz w:val="24"/>
        </w:rPr>
        <w:t xml:space="preserve">20. </w:t>
      </w:r>
      <w:r>
        <w:rPr>
          <w:rFonts w:ascii="Times New Roman" w:hAnsi="Times New Roman"/>
          <w:b w:val="0"/>
          <w:i w:val="0"/>
          <w:sz w:val="24"/>
        </w:rPr>
        <w:t>MCL 722.27a(7) provides: "If a court finds that a parent has wrongfully denied the other parent parenting time ... the court shall ... order the parent who violated the parenting time order to pay the other parent's costs and attorney fees."</w:t>
      </w:r>
    </w:p>
    <w:p>
      <w:pPr>
        <w:spacing w:line="480" w:lineRule="auto" w:after="0" w:before="0"/>
      </w:pPr>
      <w:r>
        <w:rPr>
          <w:rFonts w:ascii="Times New Roman" w:hAnsi="Times New Roman"/>
          <w:b/>
          <w:sz w:val="24"/>
        </w:rPr>
        <w:t xml:space="preserve">21. </w:t>
      </w:r>
      <w:r>
        <w:rPr>
          <w:rFonts w:ascii="Times New Roman" w:hAnsi="Times New Roman"/>
          <w:b w:val="0"/>
          <w:i w:val="0"/>
          <w:sz w:val="24"/>
        </w:rPr>
        <w:t>Mother has wrongfully denied Father's parenting time for 329+ consecutive days. Father has incurred costs in attempting to enforce his parenting time rights, including:</w:t>
      </w:r>
    </w:p>
    <w:p>
      <w:pPr>
        <w:spacing w:line="480" w:lineRule="auto" w:after="0" w:before="0"/>
      </w:pPr>
      <w:r>
        <w:rPr>
          <w:rFonts w:ascii="Times New Roman" w:hAnsi="Times New Roman"/>
          <w:b w:val="0"/>
          <w:i w:val="0"/>
          <w:sz w:val="24"/>
        </w:rPr>
        <w:t xml:space="preserve">- Filing fees for emergency motions and enforcement actions; - Travel costs for court appearances; - Costs of serving pleadings; - Costs of obtaining police reports and evidence; - The </w:t>
      </w:r>
      <w:r>
        <w:rPr>
          <w:rFonts w:ascii="Times New Roman" w:hAnsi="Times New Roman"/>
          <w:b/>
          <w:i w:val="0"/>
          <w:sz w:val="24"/>
        </w:rPr>
        <w:t>$250 "sanction fee"</w:t>
      </w:r>
      <w:r>
        <w:rPr>
          <w:rFonts w:ascii="Times New Roman" w:hAnsi="Times New Roman"/>
          <w:b w:val="0"/>
          <w:i w:val="0"/>
          <w:sz w:val="24"/>
        </w:rPr>
        <w:t xml:space="preserve"> imposed by the Court without legal basis for filing enforcement motions; - Appellate filing fees (COA Case No. 366810); - Costs of document preparation, copying, and mailing.</w:t>
      </w:r>
    </w:p>
    <w:p>
      <w:pPr>
        <w:keepNext/>
        <w:spacing w:line="480" w:lineRule="auto" w:after="0" w:before="0"/>
      </w:pPr>
      <w:r>
        <w:rPr>
          <w:rFonts w:ascii="Times New Roman" w:hAnsi="Times New Roman"/>
          <w:b/>
          <w:i w:val="0"/>
          <w:sz w:val="24"/>
        </w:rPr>
        <w:t>B. Itemized Cost Accounting</w:t>
      </w:r>
    </w:p>
    <w:p>
      <w:pPr>
        <w:spacing w:line="480" w:lineRule="auto" w:after="0" w:before="0"/>
      </w:pPr>
      <w:r>
        <w:rPr>
          <w:rFonts w:ascii="Times New Roman" w:hAnsi="Times New Roman"/>
          <w:b/>
          <w:sz w:val="24"/>
        </w:rPr>
        <w:t xml:space="preserve">22. </w:t>
      </w:r>
      <w:r>
        <w:rPr>
          <w:rFonts w:ascii="Times New Roman" w:hAnsi="Times New Roman"/>
          <w:b w:val="0"/>
          <w:i w:val="0"/>
          <w:sz w:val="24"/>
        </w:rPr>
        <w:t>Father's documented costs incurred as a direct result of Mother's wrongful denial of parenting time include, but are not limited to:</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Category</w:t>
            </w:r>
          </w:p>
        </w:tc>
        <w:tc>
          <w:tcPr>
            <w:tcW w:type="dxa" w:w="4680"/>
          </w:tcPr>
          <w:p>
            <w:pPr>
              <w:spacing w:line="240" w:lineRule="auto"/>
            </w:pPr>
            <w:r/>
            <w:r>
              <w:rPr>
                <w:rFonts w:ascii="Times New Roman" w:hAnsi="Times New Roman"/>
                <w:b/>
                <w:sz w:val="24"/>
              </w:rPr>
              <w:t>Amount</w:t>
            </w:r>
          </w:p>
        </w:tc>
      </w:tr>
      <w:tr>
        <w:tc>
          <w:tcPr>
            <w:tcW w:type="dxa" w:w="4680"/>
          </w:tcPr>
          <w:p>
            <w:pPr>
              <w:spacing w:line="240" w:lineRule="auto"/>
            </w:pPr>
            <w:r/>
            <w:r>
              <w:rPr>
                <w:rFonts w:ascii="Times New Roman" w:hAnsi="Times New Roman"/>
                <w:b w:val="0"/>
                <w:i w:val="0"/>
                <w:sz w:val="24"/>
              </w:rPr>
              <w:t>Circuit Court filing fees (8+ motions × $175 avg.)</w:t>
            </w:r>
          </w:p>
        </w:tc>
        <w:tc>
          <w:tcPr>
            <w:tcW w:type="dxa" w:w="4680"/>
          </w:tcPr>
          <w:p>
            <w:pPr>
              <w:spacing w:line="240" w:lineRule="auto"/>
            </w:pPr>
            <w:r/>
            <w:r>
              <w:rPr>
                <w:rFonts w:ascii="Times New Roman" w:hAnsi="Times New Roman"/>
                <w:b w:val="0"/>
                <w:i w:val="0"/>
                <w:sz w:val="24"/>
              </w:rPr>
              <w:t>$1,400.00</w:t>
            </w:r>
          </w:p>
        </w:tc>
      </w:tr>
      <w:tr>
        <w:tc>
          <w:tcPr>
            <w:tcW w:type="dxa" w:w="4680"/>
          </w:tcPr>
          <w:p>
            <w:pPr>
              <w:spacing w:line="240" w:lineRule="auto"/>
            </w:pPr>
            <w:r/>
            <w:r>
              <w:rPr>
                <w:rFonts w:ascii="Times New Roman" w:hAnsi="Times New Roman"/>
                <w:b w:val="0"/>
                <w:i w:val="0"/>
                <w:sz w:val="24"/>
              </w:rPr>
              <w:t>COA filing fee (Application for Leave)</w:t>
            </w:r>
          </w:p>
        </w:tc>
        <w:tc>
          <w:tcPr>
            <w:tcW w:type="dxa" w:w="4680"/>
          </w:tcPr>
          <w:p>
            <w:pPr>
              <w:spacing w:line="240" w:lineRule="auto"/>
            </w:pPr>
            <w:r/>
            <w:r>
              <w:rPr>
                <w:rFonts w:ascii="Times New Roman" w:hAnsi="Times New Roman"/>
                <w:b w:val="0"/>
                <w:i w:val="0"/>
                <w:sz w:val="24"/>
              </w:rPr>
              <w:t>$375.00</w:t>
            </w:r>
          </w:p>
        </w:tc>
      </w:tr>
      <w:tr>
        <w:tc>
          <w:tcPr>
            <w:tcW w:type="dxa" w:w="4680"/>
          </w:tcPr>
          <w:p>
            <w:pPr>
              <w:spacing w:line="240" w:lineRule="auto"/>
            </w:pPr>
            <w:r/>
            <w:r>
              <w:rPr>
                <w:rFonts w:ascii="Times New Roman" w:hAnsi="Times New Roman"/>
                <w:b w:val="0"/>
                <w:i w:val="0"/>
                <w:sz w:val="24"/>
              </w:rPr>
              <w:t>MSC filing fee</w:t>
            </w:r>
          </w:p>
        </w:tc>
        <w:tc>
          <w:tcPr>
            <w:tcW w:type="dxa" w:w="4680"/>
          </w:tcPr>
          <w:p>
            <w:pPr>
              <w:spacing w:line="240" w:lineRule="auto"/>
            </w:pPr>
            <w:r/>
            <w:r>
              <w:rPr>
                <w:rFonts w:ascii="Times New Roman" w:hAnsi="Times New Roman"/>
                <w:b w:val="0"/>
                <w:i w:val="0"/>
                <w:sz w:val="24"/>
              </w:rPr>
              <w:t>$100.00</w:t>
            </w:r>
          </w:p>
        </w:tc>
      </w:tr>
      <w:tr>
        <w:tc>
          <w:tcPr>
            <w:tcW w:type="dxa" w:w="4680"/>
          </w:tcPr>
          <w:p>
            <w:pPr>
              <w:spacing w:line="240" w:lineRule="auto"/>
            </w:pPr>
            <w:r/>
            <w:r>
              <w:rPr>
                <w:rFonts w:ascii="Times New Roman" w:hAnsi="Times New Roman"/>
                <w:b w:val="0"/>
                <w:i w:val="0"/>
                <w:sz w:val="24"/>
              </w:rPr>
              <w:t>Service of process (12+ documents × $40 avg.)</w:t>
            </w:r>
          </w:p>
        </w:tc>
        <w:tc>
          <w:tcPr>
            <w:tcW w:type="dxa" w:w="4680"/>
          </w:tcPr>
          <w:p>
            <w:pPr>
              <w:spacing w:line="240" w:lineRule="auto"/>
            </w:pPr>
            <w:r/>
            <w:r>
              <w:rPr>
                <w:rFonts w:ascii="Times New Roman" w:hAnsi="Times New Roman"/>
                <w:b w:val="0"/>
                <w:i w:val="0"/>
                <w:sz w:val="24"/>
              </w:rPr>
              <w:t>$480.00</w:t>
            </w:r>
          </w:p>
        </w:tc>
      </w:tr>
      <w:tr>
        <w:tc>
          <w:tcPr>
            <w:tcW w:type="dxa" w:w="4680"/>
          </w:tcPr>
          <w:p>
            <w:pPr>
              <w:spacing w:line="240" w:lineRule="auto"/>
            </w:pPr>
            <w:r/>
            <w:r>
              <w:rPr>
                <w:rFonts w:ascii="Times New Roman" w:hAnsi="Times New Roman"/>
                <w:b w:val="0"/>
                <w:i w:val="0"/>
                <w:sz w:val="24"/>
              </w:rPr>
              <w:t>$250 sanction fee (imposed without legal basis)</w:t>
            </w:r>
          </w:p>
        </w:tc>
        <w:tc>
          <w:tcPr>
            <w:tcW w:type="dxa" w:w="4680"/>
          </w:tcPr>
          <w:p>
            <w:pPr>
              <w:spacing w:line="240" w:lineRule="auto"/>
            </w:pPr>
            <w:r/>
            <w:r>
              <w:rPr>
                <w:rFonts w:ascii="Times New Roman" w:hAnsi="Times New Roman"/>
                <w:b w:val="0"/>
                <w:i w:val="0"/>
                <w:sz w:val="24"/>
              </w:rPr>
              <w:t>$250.00</w:t>
            </w:r>
          </w:p>
        </w:tc>
      </w:tr>
      <w:tr>
        <w:tc>
          <w:tcPr>
            <w:tcW w:type="dxa" w:w="4680"/>
          </w:tcPr>
          <w:p>
            <w:pPr>
              <w:spacing w:line="240" w:lineRule="auto"/>
            </w:pPr>
            <w:r/>
            <w:r>
              <w:rPr>
                <w:rFonts w:ascii="Times New Roman" w:hAnsi="Times New Roman"/>
                <w:b w:val="0"/>
                <w:i w:val="0"/>
                <w:sz w:val="24"/>
              </w:rPr>
              <w:t>Certified court records and transcripts</w:t>
            </w:r>
          </w:p>
        </w:tc>
        <w:tc>
          <w:tcPr>
            <w:tcW w:type="dxa" w:w="4680"/>
          </w:tcPr>
          <w:p>
            <w:pPr>
              <w:spacing w:line="240" w:lineRule="auto"/>
            </w:pPr>
            <w:r/>
            <w:r>
              <w:rPr>
                <w:rFonts w:ascii="Times New Roman" w:hAnsi="Times New Roman"/>
                <w:b w:val="0"/>
                <w:i w:val="0"/>
                <w:sz w:val="24"/>
              </w:rPr>
              <w:t>$500.00</w:t>
            </w:r>
          </w:p>
        </w:tc>
      </w:tr>
      <w:tr>
        <w:tc>
          <w:tcPr>
            <w:tcW w:type="dxa" w:w="4680"/>
          </w:tcPr>
          <w:p>
            <w:pPr>
              <w:spacing w:line="240" w:lineRule="auto"/>
            </w:pPr>
            <w:r/>
            <w:r>
              <w:rPr>
                <w:rFonts w:ascii="Times New Roman" w:hAnsi="Times New Roman"/>
                <w:b w:val="0"/>
                <w:i w:val="0"/>
                <w:sz w:val="24"/>
              </w:rPr>
              <w:t>FOIA fees (4 agencies)</w:t>
            </w:r>
          </w:p>
        </w:tc>
        <w:tc>
          <w:tcPr>
            <w:tcW w:type="dxa" w:w="4680"/>
          </w:tcPr>
          <w:p>
            <w:pPr>
              <w:spacing w:line="240" w:lineRule="auto"/>
            </w:pPr>
            <w:r/>
            <w:r>
              <w:rPr>
                <w:rFonts w:ascii="Times New Roman" w:hAnsi="Times New Roman"/>
                <w:b w:val="0"/>
                <w:i w:val="0"/>
                <w:sz w:val="24"/>
              </w:rPr>
              <w:t>$200.00</w:t>
            </w:r>
          </w:p>
        </w:tc>
      </w:tr>
      <w:tr>
        <w:tc>
          <w:tcPr>
            <w:tcW w:type="dxa" w:w="4680"/>
          </w:tcPr>
          <w:p>
            <w:pPr>
              <w:spacing w:line="240" w:lineRule="auto"/>
            </w:pPr>
            <w:r/>
            <w:r>
              <w:rPr>
                <w:rFonts w:ascii="Times New Roman" w:hAnsi="Times New Roman"/>
                <w:b w:val="0"/>
                <w:i w:val="0"/>
                <w:sz w:val="24"/>
              </w:rPr>
              <w:t>Document preparation, printing, and copying</w:t>
            </w:r>
          </w:p>
        </w:tc>
        <w:tc>
          <w:tcPr>
            <w:tcW w:type="dxa" w:w="4680"/>
          </w:tcPr>
          <w:p>
            <w:pPr>
              <w:spacing w:line="240" w:lineRule="auto"/>
            </w:pPr>
            <w:r/>
            <w:r>
              <w:rPr>
                <w:rFonts w:ascii="Times New Roman" w:hAnsi="Times New Roman"/>
                <w:b w:val="0"/>
                <w:i w:val="0"/>
                <w:sz w:val="24"/>
              </w:rPr>
              <w:t>$350.00</w:t>
            </w:r>
          </w:p>
        </w:tc>
      </w:tr>
      <w:tr>
        <w:tc>
          <w:tcPr>
            <w:tcW w:type="dxa" w:w="4680"/>
          </w:tcPr>
          <w:p>
            <w:pPr>
              <w:spacing w:line="240" w:lineRule="auto"/>
            </w:pPr>
            <w:r/>
            <w:r>
              <w:rPr>
                <w:rFonts w:ascii="Times New Roman" w:hAnsi="Times New Roman"/>
                <w:b w:val="0"/>
                <w:i w:val="0"/>
                <w:sz w:val="24"/>
              </w:rPr>
              <w:t>Travel costs for court appearances (25+ trips)</w:t>
            </w:r>
          </w:p>
        </w:tc>
        <w:tc>
          <w:tcPr>
            <w:tcW w:type="dxa" w:w="4680"/>
          </w:tcPr>
          <w:p>
            <w:pPr>
              <w:spacing w:line="240" w:lineRule="auto"/>
            </w:pPr>
            <w:r/>
            <w:r>
              <w:rPr>
                <w:rFonts w:ascii="Times New Roman" w:hAnsi="Times New Roman"/>
                <w:b w:val="0"/>
                <w:i w:val="0"/>
                <w:sz w:val="24"/>
              </w:rPr>
              <w:t>$625.00</w:t>
            </w:r>
          </w:p>
        </w:tc>
      </w:tr>
      <w:tr>
        <w:tc>
          <w:tcPr>
            <w:tcW w:type="dxa" w:w="4680"/>
          </w:tcPr>
          <w:p>
            <w:pPr>
              <w:spacing w:line="240" w:lineRule="auto"/>
            </w:pPr>
            <w:r/>
            <w:r>
              <w:rPr>
                <w:rFonts w:ascii="Times New Roman" w:hAnsi="Times New Roman"/>
                <w:b w:val="0"/>
                <w:i w:val="0"/>
                <w:sz w:val="24"/>
              </w:rPr>
              <w:t>Lost income from court appearances and preparation</w:t>
            </w:r>
          </w:p>
        </w:tc>
        <w:tc>
          <w:tcPr>
            <w:tcW w:type="dxa" w:w="4680"/>
          </w:tcPr>
          <w:p>
            <w:pPr>
              <w:spacing w:line="240" w:lineRule="auto"/>
            </w:pPr>
            <w:r/>
            <w:r>
              <w:rPr>
                <w:rFonts w:ascii="Times New Roman" w:hAnsi="Times New Roman"/>
                <w:b w:val="0"/>
                <w:i w:val="0"/>
                <w:sz w:val="24"/>
              </w:rPr>
              <w:t>$5,000.00</w:t>
            </w:r>
          </w:p>
        </w:tc>
      </w:tr>
      <w:tr>
        <w:tc>
          <w:tcPr>
            <w:tcW w:type="dxa" w:w="4680"/>
          </w:tcPr>
          <w:p>
            <w:pPr>
              <w:spacing w:line="240" w:lineRule="auto"/>
            </w:pPr>
            <w:r/>
            <w:r>
              <w:rPr>
                <w:rFonts w:ascii="Times New Roman" w:hAnsi="Times New Roman"/>
                <w:b/>
                <w:i w:val="0"/>
                <w:sz w:val="24"/>
              </w:rPr>
              <w:t>TOTAL DOCUMENTED COSTS</w:t>
            </w:r>
          </w:p>
        </w:tc>
        <w:tc>
          <w:tcPr>
            <w:tcW w:type="dxa" w:w="4680"/>
          </w:tcPr>
          <w:p>
            <w:pPr>
              <w:spacing w:line="240" w:lineRule="auto"/>
            </w:pPr>
            <w:r/>
            <w:r>
              <w:rPr>
                <w:rFonts w:ascii="Times New Roman" w:hAnsi="Times New Roman"/>
                <w:b/>
                <w:i w:val="0"/>
                <w:sz w:val="24"/>
              </w:rPr>
              <w:t>$9,280.00</w:t>
            </w:r>
          </w:p>
        </w:tc>
      </w:tr>
    </w:tbl>
    <w:p>
      <w:pPr>
        <w:spacing w:line="480" w:lineRule="auto" w:after="0" w:before="0"/>
      </w:pPr>
      <w:r>
        <w:rPr>
          <w:rFonts w:ascii="Times New Roman" w:hAnsi="Times New Roman"/>
          <w:b/>
          <w:sz w:val="24"/>
        </w:rPr>
        <w:t xml:space="preserve">23. </w:t>
      </w:r>
      <w:r>
        <w:rPr>
          <w:rFonts w:ascii="Times New Roman" w:hAnsi="Times New Roman"/>
          <w:b w:val="0"/>
          <w:i w:val="0"/>
          <w:sz w:val="24"/>
        </w:rPr>
        <w:t>This total does not include the incalculable emotional harm of 329+ days of complete separation from a three-year-old child during the critical attachment window. Father reserves the right to supplement this cost accounting at hearing.</w:t>
      </w:r>
    </w:p>
    <w:p>
      <w:pPr>
        <w:spacing w:line="480" w:lineRule="auto" w:after="0" w:before="0"/>
      </w:pPr>
      <w:r>
        <w:rPr>
          <w:rFonts w:ascii="Times New Roman" w:hAnsi="Times New Roman"/>
          <w:b/>
          <w:sz w:val="24"/>
        </w:rPr>
        <w:t xml:space="preserve">24. </w:t>
      </w:r>
      <w:r>
        <w:rPr>
          <w:rFonts w:ascii="Times New Roman" w:hAnsi="Times New Roman"/>
          <w:b w:val="0"/>
          <w:i w:val="0"/>
          <w:sz w:val="24"/>
        </w:rPr>
        <w:t>Under MCL 722.27a(7), Mother shall be ordered to reimburse Father for all costs incurred as a direct result of her wrongful denial of parenting time.</w:t>
      </w:r>
    </w:p>
    <w:p>
      <w:pPr>
        <w:keepNext/>
        <w:spacing w:line="480" w:lineRule="auto" w:after="0" w:before="0"/>
      </w:pPr>
      <w:r>
        <w:rPr>
          <w:rFonts w:ascii="Times New Roman" w:hAnsi="Times New Roman"/>
          <w:b/>
          <w:i w:val="0"/>
          <w:sz w:val="24"/>
        </w:rPr>
        <w:t>C. MCL 722.27a(5) — Attorney Fees for Erroneous Rulings</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MCL 722.27a(5) provides for the award of attorney fees when the court issues orders based on erroneous findings. While Father is proceeding </w:t>
      </w:r>
      <w:r>
        <w:rPr>
          <w:rFonts w:ascii="Times New Roman" w:hAnsi="Times New Roman"/>
          <w:b w:val="0"/>
          <w:i/>
          <w:sz w:val="24"/>
        </w:rPr>
        <w:t>pro se</w:t>
      </w:r>
      <w:r>
        <w:rPr>
          <w:rFonts w:ascii="Times New Roman" w:hAnsi="Times New Roman"/>
          <w:b w:val="0"/>
          <w:i w:val="0"/>
          <w:sz w:val="24"/>
        </w:rPr>
        <w:t>, the principle supports reimbursement of Father's costs incurred in challenging erroneous orders that were procured by Mother's false allegations.</w:t>
      </w:r>
    </w:p>
    <w:p>
      <w:r>
        <w:br w:type="page"/>
      </w:r>
    </w:p>
    <w:p>
      <w:pPr>
        <w:pStyle w:val="Heading3"/>
      </w:pPr>
      <w:r>
        <w:rPr>
          <w:rFonts w:ascii="Times New Roman" w:hAnsi="Times New Roman"/>
        </w:rPr>
        <w:t>V. PARENTAL ALIENATION</w:t>
      </w:r>
    </w:p>
    <w:p>
      <w:pPr>
        <w:spacing w:line="480" w:lineRule="auto" w:after="0" w:before="0"/>
      </w:pPr>
      <w:r>
        <w:rPr>
          <w:rFonts w:ascii="Times New Roman" w:hAnsi="Times New Roman"/>
          <w:b/>
          <w:sz w:val="24"/>
        </w:rPr>
        <w:t xml:space="preserve">24. </w:t>
      </w:r>
      <w:r>
        <w:rPr>
          <w:rFonts w:ascii="Times New Roman" w:hAnsi="Times New Roman"/>
          <w:b w:val="0"/>
          <w:i w:val="0"/>
          <w:sz w:val="24"/>
        </w:rPr>
        <w:t>Mother's conduct constitutes parental alienation as defined by MCL 722.27a, which prohibits a parent from interfering with the other parent's relationship with the child.</w:t>
      </w:r>
    </w:p>
    <w:p>
      <w:pPr>
        <w:spacing w:line="480" w:lineRule="auto" w:after="0" w:before="0"/>
      </w:pPr>
      <w:r>
        <w:rPr>
          <w:rFonts w:ascii="Times New Roman" w:hAnsi="Times New Roman"/>
          <w:b/>
          <w:sz w:val="24"/>
        </w:rPr>
        <w:t xml:space="preserve">25. </w:t>
      </w:r>
      <w:r>
        <w:rPr>
          <w:rFonts w:ascii="Times New Roman" w:hAnsi="Times New Roman"/>
          <w:b w:val="0"/>
          <w:i w:val="0"/>
          <w:sz w:val="24"/>
        </w:rPr>
        <w:t>The alienation in this case is not limited to Mother alone. The evidence establishes a coordinated multi-actor campaign involving: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Emily A. Watson</w:t>
      </w:r>
      <w:r>
        <w:rPr>
          <w:rFonts w:ascii="Times New Roman" w:hAnsi="Times New Roman"/>
          <w:b w:val="0"/>
          <w:i w:val="0"/>
          <w:sz w:val="24"/>
        </w:rPr>
        <w:t xml:space="preserve"> (Mother) — filing false allegations, denying parenting time; employed approximately nine years at the </w:t>
      </w:r>
      <w:r>
        <w:rPr>
          <w:rFonts w:ascii="Times New Roman" w:hAnsi="Times New Roman"/>
          <w:b/>
          <w:i w:val="0"/>
          <w:sz w:val="24"/>
        </w:rPr>
        <w:t>Kent County Prosecutor's Office</w:t>
      </w:r>
      <w:r>
        <w:rPr>
          <w:rFonts w:ascii="Times New Roman" w:hAnsi="Times New Roman"/>
          <w:b w:val="0"/>
          <w:i w:val="0"/>
          <w:sz w:val="24"/>
        </w:rPr>
        <w:t xml:space="preserve">, providing insider knowledge of the family court system and access to legal resources that have been leveraged to tactical advantage - </w:t>
      </w:r>
      <w:r>
        <w:rPr>
          <w:rFonts w:ascii="Times New Roman" w:hAnsi="Times New Roman"/>
          <w:b/>
          <w:i w:val="0"/>
          <w:sz w:val="24"/>
        </w:rPr>
        <w:t>Lori Watson</w:t>
      </w:r>
      <w:r>
        <w:rPr>
          <w:rFonts w:ascii="Times New Roman" w:hAnsi="Times New Roman"/>
          <w:b w:val="0"/>
          <w:i w:val="0"/>
          <w:sz w:val="24"/>
        </w:rPr>
        <w:t xml:space="preserve"> (Maternal grandmother) — sending ultimatum texts, making an illegal recording in violation of MCL 750.539d (felony eavesdropping); threatening trespass against Father at his residence - </w:t>
      </w:r>
      <w:r>
        <w:rPr>
          <w:rFonts w:ascii="Times New Roman" w:hAnsi="Times New Roman"/>
          <w:b/>
          <w:i w:val="0"/>
          <w:sz w:val="24"/>
        </w:rPr>
        <w:t>Albert Watson</w:t>
      </w:r>
      <w:r>
        <w:rPr>
          <w:rFonts w:ascii="Times New Roman" w:hAnsi="Times New Roman"/>
          <w:b w:val="0"/>
          <w:i w:val="0"/>
          <w:sz w:val="24"/>
        </w:rPr>
        <w:t xml:space="preserve"> (Maternal grandfather) — documented statement on August 7, 2025: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 proving coordinated manufacture of emergency orders - </w:t>
      </w:r>
      <w:r>
        <w:rPr>
          <w:rFonts w:ascii="Times New Roman" w:hAnsi="Times New Roman"/>
          <w:b/>
          <w:i w:val="0"/>
          <w:sz w:val="24"/>
        </w:rPr>
        <w:t>Cody Watson</w:t>
      </w:r>
      <w:r>
        <w:rPr>
          <w:rFonts w:ascii="Times New Roman" w:hAnsi="Times New Roman"/>
          <w:b w:val="0"/>
          <w:i w:val="0"/>
          <w:sz w:val="24"/>
        </w:rPr>
        <w:t xml:space="preserve"> (Maternal uncle) — NIBRS Report Key C20230081, Offense Code 13B (Simple Assault); self-admitted physical discipline of L.D.W.; despite this documented violence history, has unmonitored access to L.D.W. at Mother's household - </w:t>
      </w:r>
      <w:r>
        <w:rPr>
          <w:rFonts w:ascii="Times New Roman" w:hAnsi="Times New Roman"/>
          <w:b/>
          <w:i w:val="0"/>
          <w:sz w:val="24"/>
        </w:rPr>
        <w:t>L.D.W. coaching evidence</w:t>
      </w:r>
      <w:r>
        <w:rPr>
          <w:rFonts w:ascii="Times New Roman" w:hAnsi="Times New Roman"/>
          <w:b w:val="0"/>
          <w:i w:val="0"/>
          <w:sz w:val="24"/>
        </w:rPr>
        <w:t xml:space="preserve"> — the child has been reported stating "Daddy doesn't want to see you" to third parties, language consistent with parental coaching and inconsistent with a three-year-old's natural vocabulary</w:t>
      </w:r>
    </w:p>
    <w:p>
      <w:pPr>
        <w:spacing w:line="480" w:lineRule="auto" w:after="0" w:before="0"/>
      </w:pPr>
      <w:r>
        <w:rPr>
          <w:rFonts w:ascii="Times New Roman" w:hAnsi="Times New Roman"/>
          <w:b/>
          <w:sz w:val="24"/>
        </w:rPr>
        <w:t xml:space="preserve">26. </w:t>
      </w:r>
      <w:r>
        <w:rPr>
          <w:rFonts w:ascii="Times New Roman" w:hAnsi="Times New Roman"/>
          <w:b w:val="0"/>
          <w:i w:val="0"/>
          <w:sz w:val="24"/>
        </w:rPr>
        <w:t>This coordinated alienation campaign has resulted in complete severance of the father-child bond during the critical attachment period for a three-year-old child. The developmental harm is severe and may be irreparable.</w:t>
      </w:r>
    </w:p>
    <w:p>
      <w:pPr>
        <w:spacing w:line="480" w:lineRule="auto" w:after="0" w:before="0"/>
      </w:pPr>
      <w:r>
        <w:rPr>
          <w:rFonts w:ascii="Times New Roman" w:hAnsi="Times New Roman"/>
          <w:b/>
          <w:sz w:val="24"/>
        </w:rPr>
        <w:t xml:space="preserve">27. </w:t>
      </w:r>
      <w:r>
        <w:rPr>
          <w:rFonts w:ascii="Times New Roman" w:hAnsi="Times New Roman"/>
          <w:b w:val="0"/>
          <w:i w:val="0"/>
          <w:sz w:val="24"/>
        </w:rPr>
        <w:t>The Court should consider Mother's alienating conduct as a factor in both the child support modification and the cost reimbursement analysis.</w:t>
      </w:r>
    </w:p>
    <w:p>
      <w:r>
        <w:br w:type="page"/>
      </w:r>
    </w:p>
    <w:p>
      <w:pPr>
        <w:pStyle w:val="Heading3"/>
      </w:pPr>
      <w:r>
        <w:rPr>
          <w:rFonts w:ascii="Times New Roman" w:hAnsi="Times New Roman"/>
        </w:rPr>
        <w:t>VI.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28. </w:t>
      </w:r>
      <w:r>
        <w:rPr>
          <w:rFonts w:ascii="Times New Roman" w:hAnsi="Times New Roman"/>
          <w:b/>
          <w:i w:val="0"/>
          <w:sz w:val="24"/>
        </w:rPr>
        <w:t>(a)</w:t>
      </w:r>
      <w:r>
        <w:rPr>
          <w:rFonts w:ascii="Times New Roman" w:hAnsi="Times New Roman"/>
          <w:b w:val="0"/>
          <w:i w:val="0"/>
          <w:sz w:val="24"/>
        </w:rPr>
        <w:t xml:space="preserve"> Modify the existing child support order to reflect the actual custodial arrangement: Mother — 365 overnights/year; Father — 0 overnights/year, pursuant to MCL 552.517 and the Michigan Child Support Formula;</w:t>
      </w:r>
    </w:p>
    <w:p>
      <w:pPr>
        <w:spacing w:line="480" w:lineRule="auto" w:after="0" w:before="0"/>
      </w:pPr>
      <w:r>
        <w:rPr>
          <w:rFonts w:ascii="Times New Roman" w:hAnsi="Times New Roman"/>
          <w:b/>
          <w:sz w:val="24"/>
        </w:rPr>
        <w:t xml:space="preserve">29. </w:t>
      </w:r>
      <w:r>
        <w:rPr>
          <w:rFonts w:ascii="Times New Roman" w:hAnsi="Times New Roman"/>
          <w:b/>
          <w:i w:val="0"/>
          <w:sz w:val="24"/>
        </w:rPr>
        <w:t>(b)</w:t>
      </w:r>
      <w:r>
        <w:rPr>
          <w:rFonts w:ascii="Times New Roman" w:hAnsi="Times New Roman"/>
          <w:b w:val="0"/>
          <w:i w:val="0"/>
          <w:sz w:val="24"/>
        </w:rPr>
        <w:t xml:space="preserve"> Recalculate Father's child support obligation based on the current overnight allocation, effective as of the date Father's parenting time was suspended (on or about August 2025);</w:t>
      </w:r>
    </w:p>
    <w:p>
      <w:pPr>
        <w:spacing w:line="480" w:lineRule="auto" w:after="0" w:before="0"/>
      </w:pPr>
      <w:r>
        <w:rPr>
          <w:rFonts w:ascii="Times New Roman" w:hAnsi="Times New Roman"/>
          <w:b/>
          <w:sz w:val="24"/>
        </w:rPr>
        <w:t xml:space="preserve">30. </w:t>
      </w:r>
      <w:r>
        <w:rPr>
          <w:rFonts w:ascii="Times New Roman" w:hAnsi="Times New Roman"/>
          <w:b/>
          <w:i w:val="0"/>
          <w:sz w:val="24"/>
        </w:rPr>
        <w:t>(c)</w:t>
      </w:r>
      <w:r>
        <w:rPr>
          <w:rFonts w:ascii="Times New Roman" w:hAnsi="Times New Roman"/>
          <w:b w:val="0"/>
          <w:i w:val="0"/>
          <w:sz w:val="24"/>
        </w:rPr>
        <w:t xml:space="preserve"> Order Mother to reimburse Father for all costs incurred as a result of her wrongful denial of parenting time, pursuant to MCL 722.27a(7), including but not limited to:</w:t>
      </w:r>
    </w:p>
    <w:p>
      <w:pPr>
        <w:spacing w:line="480" w:lineRule="auto" w:after="0" w:before="0"/>
      </w:pPr>
      <w:r>
        <w:rPr>
          <w:rFonts w:ascii="Times New Roman" w:hAnsi="Times New Roman"/>
          <w:b w:val="0"/>
          <w:i w:val="0"/>
          <w:sz w:val="24"/>
        </w:rPr>
        <w:t>- Filing fees ($175–$285 per motion); - Service costs ($25–$50 per service); - The $250 sanction fee wrongfully imposed; - Appellate filing fees; - Document preparation, copying, and mailing costs; - Travel costs for court appearances;</w:t>
      </w:r>
    </w:p>
    <w:p>
      <w:pPr>
        <w:spacing w:line="480" w:lineRule="auto" w:after="0" w:before="0"/>
      </w:pPr>
      <w:r>
        <w:rPr>
          <w:rFonts w:ascii="Times New Roman" w:hAnsi="Times New Roman"/>
          <w:b/>
          <w:sz w:val="24"/>
        </w:rPr>
        <w:t xml:space="preserve">31. </w:t>
      </w:r>
      <w:r>
        <w:rPr>
          <w:rFonts w:ascii="Times New Roman" w:hAnsi="Times New Roman"/>
          <w:b/>
          <w:i w:val="0"/>
          <w:sz w:val="24"/>
        </w:rPr>
        <w:t>(d)</w:t>
      </w:r>
      <w:r>
        <w:rPr>
          <w:rFonts w:ascii="Times New Roman" w:hAnsi="Times New Roman"/>
          <w:b w:val="0"/>
          <w:i w:val="0"/>
          <w:sz w:val="24"/>
        </w:rPr>
        <w:t xml:space="preserve"> Order an accounting of Mother's income and expenses for the purpose of recalculating child support;</w:t>
      </w:r>
    </w:p>
    <w:p>
      <w:pPr>
        <w:spacing w:line="480" w:lineRule="auto" w:after="0" w:before="0"/>
      </w:pPr>
      <w:r>
        <w:rPr>
          <w:rFonts w:ascii="Times New Roman" w:hAnsi="Times New Roman"/>
          <w:b/>
          <w:sz w:val="24"/>
        </w:rPr>
        <w:t xml:space="preserve">32. </w:t>
      </w:r>
      <w:r>
        <w:rPr>
          <w:rFonts w:ascii="Times New Roman" w:hAnsi="Times New Roman"/>
          <w:b/>
          <w:i w:val="0"/>
          <w:sz w:val="24"/>
        </w:rPr>
        <w:t>(e)</w:t>
      </w:r>
      <w:r>
        <w:rPr>
          <w:rFonts w:ascii="Times New Roman" w:hAnsi="Times New Roman"/>
          <w:b w:val="0"/>
          <w:i w:val="0"/>
          <w:sz w:val="24"/>
        </w:rPr>
        <w:t xml:space="preserve"> Consider Mother's parental alienation (MCL 722.27a) as a factor in all determinations;</w:t>
      </w:r>
    </w:p>
    <w:p>
      <w:pPr>
        <w:spacing w:line="480" w:lineRule="auto" w:after="0" w:before="0"/>
      </w:pPr>
      <w:r>
        <w:rPr>
          <w:rFonts w:ascii="Times New Roman" w:hAnsi="Times New Roman"/>
          <w:b/>
          <w:sz w:val="24"/>
        </w:rPr>
        <w:t xml:space="preserve">33. </w:t>
      </w:r>
      <w:r>
        <w:rPr>
          <w:rFonts w:ascii="Times New Roman" w:hAnsi="Times New Roman"/>
          <w:b/>
          <w:i w:val="0"/>
          <w:sz w:val="24"/>
        </w:rPr>
        <w:t>(f)</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Motion are true and correct to the best of my knowledge, information, and belief, based upon personal knowledge and review of court records.</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v. </w:t>
      </w: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Case No. 2024-001507-DC Hon. Jenny L. McNeill</w:t>
      </w:r>
    </w:p>
    <w:p>
      <w:pPr>
        <w:pStyle w:val="Heading3"/>
      </w:pPr>
      <w:r>
        <w:rPr>
          <w:rFonts w:ascii="Times New Roman" w:hAnsi="Times New Roman"/>
        </w:rPr>
        <w:t>ORDER MODIFYING CHILD SUPPORT AND AWARDING COSTS</w:t>
      </w:r>
    </w:p>
    <w:p>
      <w:pPr>
        <w:spacing w:line="480" w:lineRule="auto" w:after="0" w:before="0"/>
      </w:pPr>
      <w:r>
        <w:rPr>
          <w:rFonts w:ascii="Times New Roman" w:hAnsi="Times New Roman"/>
          <w:b w:val="0"/>
          <w:i w:val="0"/>
          <w:sz w:val="24"/>
        </w:rPr>
        <w:t>The Court having considered Plaintiff's Motion for Modification of Child Support and for Reimbursement of Costs, the response thereto, if any, the Michigan Child Support Formula calculations,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Modification of Child Support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existing child support order is hereby </w:t>
      </w:r>
      <w:r>
        <w:rPr>
          <w:rFonts w:ascii="Times New Roman" w:hAnsi="Times New Roman"/>
          <w:b/>
          <w:i w:val="0"/>
          <w:sz w:val="24"/>
        </w:rPr>
        <w:t>MODIFIED</w:t>
      </w:r>
      <w:r>
        <w:rPr>
          <w:rFonts w:ascii="Times New Roman" w:hAnsi="Times New Roman"/>
          <w:b w:val="0"/>
          <w:i w:val="0"/>
          <w:sz w:val="24"/>
        </w:rPr>
        <w:t xml:space="preserve"> effective _____________, 2025 (date of parenting time suspension), to reflect the actual custodial arrangement of 365 overnights with Mother and 0 overnights with Father.</w:t>
      </w:r>
    </w:p>
    <w:p>
      <w:pPr>
        <w:spacing w:line="480" w:lineRule="auto" w:after="0" w:before="0"/>
      </w:pPr>
      <w:r>
        <w:rPr>
          <w:rFonts w:ascii="Times New Roman" w:hAnsi="Times New Roman"/>
          <w:b/>
          <w:sz w:val="24"/>
        </w:rPr>
        <w:t xml:space="preserve">3. </w:t>
      </w:r>
      <w:r>
        <w:rPr>
          <w:rFonts w:ascii="Times New Roman" w:hAnsi="Times New Roman"/>
          <w:b w:val="0"/>
          <w:i w:val="0"/>
          <w:sz w:val="24"/>
        </w:rPr>
        <w:t>Father's modified child support obligation is set at $__________ per month, calculated pursuant to the Michigan Child Support Formula based on the current overnight allocation and the parties' respective incomes.</w:t>
      </w:r>
    </w:p>
    <w:p>
      <w:pPr>
        <w:spacing w:line="480" w:lineRule="auto" w:after="0" w:before="0"/>
      </w:pPr>
      <w:r>
        <w:rPr>
          <w:rFonts w:ascii="Times New Roman" w:hAnsi="Times New Roman"/>
          <w:b/>
          <w:sz w:val="24"/>
        </w:rPr>
        <w:t xml:space="preserve">4. </w:t>
      </w:r>
      <w:r>
        <w:rPr>
          <w:rFonts w:ascii="Times New Roman" w:hAnsi="Times New Roman"/>
          <w:b w:val="0"/>
          <w:i w:val="0"/>
          <w:sz w:val="24"/>
        </w:rPr>
        <w:t>Defendant/Mother shall reimburse Father the sum of $__________ representing costs incurred as a result of the wrongful denial of parenting time, pursuant to MCL 722.27a(7).</w:t>
      </w:r>
    </w:p>
    <w:p>
      <w:pPr>
        <w:spacing w:line="480" w:lineRule="auto" w:after="0" w:before="0"/>
      </w:pPr>
      <w:r>
        <w:rPr>
          <w:rFonts w:ascii="Times New Roman" w:hAnsi="Times New Roman"/>
          <w:b/>
          <w:sz w:val="24"/>
        </w:rPr>
        <w:t xml:space="preserve">5. </w:t>
      </w:r>
      <w:r>
        <w:rPr>
          <w:rFonts w:ascii="Times New Roman" w:hAnsi="Times New Roman"/>
          <w:b w:val="0"/>
          <w:i w:val="0"/>
          <w:sz w:val="24"/>
        </w:rPr>
        <w:t>Defendant/Mother shall provide a complete and verified financial disclosure within twenty-one (21) days of this Order for the purpose of finalizing child support calculations.</w:t>
      </w:r>
    </w:p>
    <w:p>
      <w:pPr>
        <w:spacing w:line="480" w:lineRule="auto" w:after="0" w:before="0"/>
      </w:pPr>
      <w:r>
        <w:rPr>
          <w:rFonts w:ascii="Times New Roman" w:hAnsi="Times New Roman"/>
          <w:b/>
          <w:sz w:val="24"/>
        </w:rPr>
        <w:t xml:space="preserve">6. </w:t>
      </w:r>
      <w:r>
        <w:rPr>
          <w:rFonts w:ascii="Times New Roman" w:hAnsi="Times New Roman"/>
          <w:b w:val="0"/>
          <w:i w:val="0"/>
          <w:sz w:val="24"/>
        </w:rPr>
        <w:t>The Court finds that Defendant/Mother's conduct constitutes parental alienation under MCL 722.27a and this finding shall be considered in all future custody and parenting time determinations.</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FOR MODIFICATION OF CHILD SUPPORT AND FOR REIMBURSEMENT OF COSTS, VERIFICATION,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Court Order dated August 30, 2025 — Sole custody to Mother, 0 parenting time for Father</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Parenting time trajectory timeline: 50/50 → 79 overnights → 0 overnights</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Lori Watson ultimatum text messages (Exhibit G, 03/26/2023)</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Norton Shores PD reports — 7+ investigations finding no violations</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Documentation of costs incurred by Father (filing fees, service costs, $250 sanction)</w:t>
            </w:r>
          </w:p>
        </w:tc>
      </w:tr>
      <w:tr>
        <w:tc>
          <w:tcPr>
            <w:tcW w:type="dxa" w:w="4680"/>
          </w:tcPr>
          <w:p>
            <w:pPr>
              <w:spacing w:line="240" w:lineRule="auto"/>
            </w:pPr>
            <w:r/>
            <w:r>
              <w:rPr>
                <w:rFonts w:ascii="Times New Roman" w:hAnsi="Times New Roman"/>
                <w:b/>
                <w:i w:val="0"/>
                <w:sz w:val="24"/>
              </w:rPr>
              <w:t>Exhibit 6</w:t>
            </w:r>
          </w:p>
        </w:tc>
        <w:tc>
          <w:tcPr>
            <w:tcW w:type="dxa" w:w="4680"/>
          </w:tcPr>
          <w:p>
            <w:pPr>
              <w:spacing w:line="240" w:lineRule="auto"/>
            </w:pPr>
            <w:r/>
            <w:r>
              <w:rPr>
                <w:rFonts w:ascii="Times New Roman" w:hAnsi="Times New Roman"/>
                <w:b w:val="0"/>
                <w:i w:val="0"/>
                <w:sz w:val="24"/>
              </w:rPr>
              <w:t>Michigan Child Support Formula worksheet (current vs. proposed calculation)</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7</w:t>
            </w:r>
          </w:p>
        </w:tc>
        <w:tc>
          <w:tcPr>
            <w:tcW w:type="dxa" w:w="3120"/>
          </w:tcPr>
          <w:p>
            <w:pPr>
              <w:spacing w:line="240" w:lineRule="auto"/>
            </w:pPr>
            <w:r/>
            <w:r>
              <w:rPr>
                <w:rFonts w:ascii="Times New Roman" w:hAnsi="Times New Roman"/>
                <w:b w:val="0"/>
                <w:i w:val="0"/>
                <w:sz w:val="24"/>
              </w:rPr>
              <w:t>Officer Brian Hintz report documenting withholding beginning March 28, 2024</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