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MOTION FOR SANCTIONS PURSUANT TO MCR 2.114(D) AND (E) AND MCR 2.625</w:t>
      </w:r>
    </w:p>
    <w:p>
      <w:r>
        <w:br w:type="page"/>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STATE OF MICHIGAN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val="0"/>
          <w:i w:val="0"/>
          <w:sz w:val="24"/>
        </w:rPr>
        <w:t xml:space="preserve">v.                                                    Case No. 2024-001507-DC Hon. Jenny L. McNeill </w:t>
      </w:r>
      <w:r>
        <w:rPr>
          <w:rFonts w:ascii="Times New Roman" w:hAnsi="Times New Roman"/>
          <w:b/>
          <w:i w:val="0"/>
          <w:sz w:val="24"/>
        </w:rPr>
        <w:t>EMILY A. WATSON (a/k/a EMILY JOY WATKINS),</w:t>
      </w:r>
      <w:r>
        <w:rPr>
          <w:rFonts w:ascii="Times New Roman" w:hAnsi="Times New Roman"/>
          <w:b w:val="0"/>
          <w:i w:val="0"/>
          <w:sz w:val="24"/>
        </w:rPr>
        <w:t xml:space="preserve"> Defendant/Mother.</w:t>
      </w:r>
    </w:p>
    <w:p>
      <w:r>
        <w:br w:type="page"/>
      </w:r>
    </w:p>
    <w:p>
      <w:pPr>
        <w:spacing w:line="480" w:lineRule="auto" w:after="0" w:before="0"/>
      </w:pPr>
      <w:r>
        <w:rPr>
          <w:rFonts w:ascii="Times New Roman" w:hAnsi="Times New Roman"/>
          <w:b w:val="0"/>
          <w:i w:val="0"/>
          <w:sz w:val="24"/>
        </w:rPr>
        <w:t>AND CONSOLIDATED CASE:</w:t>
      </w:r>
    </w:p>
    <w:p>
      <w:pPr>
        <w:spacing w:line="480" w:lineRule="auto" w:after="0" w:before="0"/>
      </w:pPr>
      <w:r>
        <w:rPr>
          <w:rFonts w:ascii="Times New Roman" w:hAnsi="Times New Roman"/>
          <w:b w:val="0"/>
          <w:i w:val="0"/>
          <w:sz w:val="24"/>
        </w:rPr>
        <w:t>Case No. 2023-5907-PP (PPO Proceeding)</w:t>
      </w:r>
    </w:p>
    <w:p>
      <w:r>
        <w:br w:type="page"/>
      </w:r>
    </w:p>
    <w:p>
      <w:pPr>
        <w:pStyle w:val="Heading2"/>
      </w:pPr>
      <w:r>
        <w:rPr>
          <w:rFonts w:ascii="Times New Roman" w:hAnsi="Times New Roman"/>
        </w:rPr>
        <w:t>MOTION FOR SANCTIONS PURSUANT TO MCR 2.114(D) AND (E) AND MCR 2.625</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Plaintiff/Father, Andrew J. Pigors, appearing </w:t>
      </w:r>
      <w:r>
        <w:rPr>
          <w:rFonts w:ascii="Times New Roman" w:hAnsi="Times New Roman"/>
          <w:b w:val="0"/>
          <w:i/>
          <w:sz w:val="24"/>
        </w:rPr>
        <w:t>pro se</w:t>
      </w:r>
      <w:r>
        <w:rPr>
          <w:rFonts w:ascii="Times New Roman" w:hAnsi="Times New Roman"/>
          <w:b w:val="0"/>
          <w:i w:val="0"/>
          <w:sz w:val="24"/>
        </w:rPr>
        <w:t>, and respectfully moves this Honorable Court for an Order imposing sanctions against Defendant Emily A. Watson and her counsel, Jennifer Barnes, pursuant to MCR 2.114(D), MCR 2.114(E), and MCR 2.625, and in support thereof states as follows:</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Motion seeks sanctions against Defendant Emily A. Watson ("Mother") and her counsel, Jennifer Barnes, for the filing and prosecution of frivolous, vexatious, and factually unsupported pleadings in both the custody proceeding (Case No. 2024-001507-DC) and the PPO proceeding (Case No. 2023-5907-PP).</w:t>
      </w:r>
    </w:p>
    <w:p>
      <w:pPr>
        <w:spacing w:line="480" w:lineRule="auto" w:after="0" w:before="0"/>
      </w:pPr>
      <w:r>
        <w:rPr>
          <w:rFonts w:ascii="Times New Roman" w:hAnsi="Times New Roman"/>
          <w:b/>
          <w:sz w:val="24"/>
        </w:rPr>
        <w:t xml:space="preserve">2. </w:t>
      </w:r>
      <w:r>
        <w:rPr>
          <w:rFonts w:ascii="Times New Roman" w:hAnsi="Times New Roman"/>
          <w:b w:val="0"/>
          <w:i w:val="0"/>
          <w:sz w:val="24"/>
        </w:rPr>
        <w:t>MCR 2.114(D) requires that every document signed by an attorney or party shall be "well grounded in fact" and "warranted by existing law or a good faith argument for the extension, modification, or reversal of existing law."</w:t>
      </w:r>
    </w:p>
    <w:p>
      <w:pPr>
        <w:spacing w:line="480" w:lineRule="auto" w:after="0" w:before="0"/>
      </w:pPr>
      <w:r>
        <w:rPr>
          <w:rFonts w:ascii="Times New Roman" w:hAnsi="Times New Roman"/>
          <w:b/>
          <w:sz w:val="24"/>
        </w:rPr>
        <w:t xml:space="preserve">3. </w:t>
      </w:r>
      <w:r>
        <w:rPr>
          <w:rFonts w:ascii="Times New Roman" w:hAnsi="Times New Roman"/>
          <w:b w:val="0"/>
          <w:i w:val="0"/>
          <w:sz w:val="24"/>
        </w:rPr>
        <w:t>MCR 2.114(E) mandates that "[i]f a document is signed in violation of this rule, the court, on the motion of a party or on its own initiative, shall impose upon the person who signed it, a represented party, or both, an appropriate sanction, which may include an order to pay to the other party the amount of the reasonable expenses incurred because of the filing of the document, including reasonable attorney fees."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Defendant and her counsel have filed not fewer than </w:t>
      </w:r>
      <w:r>
        <w:rPr>
          <w:rFonts w:ascii="Times New Roman" w:hAnsi="Times New Roman"/>
          <w:b/>
          <w:i w:val="0"/>
          <w:sz w:val="24"/>
        </w:rPr>
        <w:t>seven (7) show-cause motions</w:t>
      </w:r>
      <w:r>
        <w:rPr>
          <w:rFonts w:ascii="Times New Roman" w:hAnsi="Times New Roman"/>
          <w:b w:val="0"/>
          <w:i w:val="0"/>
          <w:sz w:val="24"/>
        </w:rPr>
        <w:t xml:space="preserve"> and multiple PPO petitions containing allegations that are not merely unsubstantiated, but are </w:t>
      </w:r>
      <w:r>
        <w:rPr>
          <w:rFonts w:ascii="Times New Roman" w:hAnsi="Times New Roman"/>
          <w:b/>
          <w:i w:val="0"/>
          <w:sz w:val="24"/>
        </w:rPr>
        <w:t>affirmatively contradicted</w:t>
      </w:r>
      <w:r>
        <w:rPr>
          <w:rFonts w:ascii="Times New Roman" w:hAnsi="Times New Roman"/>
          <w:b w:val="0"/>
          <w:i w:val="0"/>
          <w:sz w:val="24"/>
        </w:rPr>
        <w:t xml:space="preserve"> by independent law enforcement investigations conducted by the Norton Shores Police Department.</w:t>
      </w:r>
    </w:p>
    <w:p>
      <w:r>
        <w:br w:type="page"/>
      </w:r>
    </w:p>
    <w:p>
      <w:pPr>
        <w:pStyle w:val="Heading3"/>
      </w:pPr>
      <w:r>
        <w:rPr>
          <w:rFonts w:ascii="Times New Roman" w:hAnsi="Times New Roman"/>
        </w:rPr>
        <w:t>II. FACTUAL BACKGROUND</w:t>
      </w:r>
    </w:p>
    <w:p>
      <w:pPr>
        <w:keepNext/>
        <w:spacing w:line="480" w:lineRule="auto" w:after="0" w:before="0"/>
      </w:pPr>
      <w:r>
        <w:rPr>
          <w:rFonts w:ascii="Times New Roman" w:hAnsi="Times New Roman"/>
          <w:b/>
          <w:i w:val="0"/>
          <w:sz w:val="24"/>
        </w:rPr>
        <w:t>A. The Pattern of Frivolous Filings</w:t>
      </w:r>
    </w:p>
    <w:p>
      <w:pPr>
        <w:spacing w:line="480" w:lineRule="auto" w:after="0" w:before="0"/>
      </w:pPr>
      <w:r>
        <w:rPr>
          <w:rFonts w:ascii="Times New Roman" w:hAnsi="Times New Roman"/>
          <w:b/>
          <w:sz w:val="24"/>
        </w:rPr>
        <w:t xml:space="preserve">5. </w:t>
      </w:r>
      <w:r>
        <w:rPr>
          <w:rFonts w:ascii="Times New Roman" w:hAnsi="Times New Roman"/>
          <w:b w:val="0"/>
          <w:i w:val="0"/>
          <w:sz w:val="24"/>
        </w:rPr>
        <w:t>Since the inception of these proceedings, Defendant has engaged in a systematic campaign of filing false and frivolous allegations against Father. Each allegation has been independently investigated and found to be without merit.</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Norton Shores Police Department has conducted </w:t>
      </w:r>
      <w:r>
        <w:rPr>
          <w:rFonts w:ascii="Times New Roman" w:hAnsi="Times New Roman"/>
          <w:b/>
          <w:i w:val="0"/>
          <w:sz w:val="24"/>
        </w:rPr>
        <w:t>seven or more (7+) investigations</w:t>
      </w:r>
      <w:r>
        <w:rPr>
          <w:rFonts w:ascii="Times New Roman" w:hAnsi="Times New Roman"/>
          <w:b w:val="0"/>
          <w:i w:val="0"/>
          <w:sz w:val="24"/>
        </w:rPr>
        <w:t xml:space="preserve"> into Defendant's allegations against Father. In every single instance, the investigation resulted in a finding of </w:t>
      </w:r>
      <w:r>
        <w:rPr>
          <w:rFonts w:ascii="Times New Roman" w:hAnsi="Times New Roman"/>
          <w:b/>
          <w:i w:val="0"/>
          <w:sz w:val="24"/>
        </w:rPr>
        <w:t>NO VIOLATION</w:t>
      </w:r>
      <w:r>
        <w:rPr>
          <w:rFonts w:ascii="Times New Roman" w:hAnsi="Times New Roman"/>
          <w:b w:val="0"/>
          <w:i w:val="0"/>
          <w:sz w:val="24"/>
        </w:rPr>
        <w:t xml:space="preserve"> and </w:t>
      </w:r>
      <w:r>
        <w:rPr>
          <w:rFonts w:ascii="Times New Roman" w:hAnsi="Times New Roman"/>
          <w:b/>
          <w:i w:val="0"/>
          <w:sz w:val="24"/>
        </w:rPr>
        <w:t>NO CRIMINAL CONDUCT</w:t>
      </w:r>
      <w:r>
        <w:rPr>
          <w:rFonts w:ascii="Times New Roman" w:hAnsi="Times New Roman"/>
          <w:b w:val="0"/>
          <w:i w:val="0"/>
          <w:sz w:val="24"/>
        </w:rPr>
        <w:t>. (See NSPD Case Nos. NSPD-2023-081, NSPD-2023-08121, NSPD-2023-08179, and additional reports.)</w:t>
      </w:r>
    </w:p>
    <w:p>
      <w:pPr>
        <w:spacing w:line="480" w:lineRule="auto" w:after="0" w:before="0"/>
      </w:pPr>
      <w:r>
        <w:rPr>
          <w:rFonts w:ascii="Times New Roman" w:hAnsi="Times New Roman"/>
          <w:b/>
          <w:sz w:val="24"/>
        </w:rPr>
        <w:t xml:space="preserve">7. </w:t>
      </w:r>
      <w:r>
        <w:rPr>
          <w:rFonts w:ascii="Times New Roman" w:hAnsi="Times New Roman"/>
          <w:b w:val="0"/>
          <w:i w:val="0"/>
          <w:sz w:val="24"/>
        </w:rPr>
        <w:t>Despite these unanimous law enforcement findings, Defendant and her counsel have continued to file pleadings repeating the same debunked allegations, each time with increasing embellishment but no additional evidentiary support.</w:t>
      </w:r>
    </w:p>
    <w:p>
      <w:pPr>
        <w:spacing w:line="480" w:lineRule="auto" w:after="0" w:before="0"/>
      </w:pPr>
      <w:r>
        <w:rPr>
          <w:rFonts w:ascii="Times New Roman" w:hAnsi="Times New Roman"/>
          <w:b w:val="0"/>
          <w:i w:val="0"/>
          <w:sz w:val="24"/>
        </w:rPr>
        <w:t xml:space="preserve">7A. </w:t>
      </w:r>
      <w:r>
        <w:rPr>
          <w:rFonts w:ascii="Times New Roman" w:hAnsi="Times New Roman"/>
          <w:b/>
          <w:i w:val="0"/>
          <w:sz w:val="24"/>
        </w:rPr>
        <w:t>The Watson family's litigation strategy is documented in their own words.</w:t>
      </w:r>
      <w:r>
        <w:rPr>
          <w:rFonts w:ascii="Times New Roman" w:hAnsi="Times New Roman"/>
          <w:b w:val="0"/>
          <w:i w:val="0"/>
          <w:sz w:val="24"/>
        </w:rPr>
        <w:t xml:space="preserve"> In </w:t>
      </w:r>
      <w:r>
        <w:rPr>
          <w:rFonts w:ascii="Times New Roman" w:hAnsi="Times New Roman"/>
          <w:b/>
          <w:i w:val="0"/>
          <w:sz w:val="24"/>
        </w:rPr>
        <w:t>November 2023</w:t>
      </w:r>
      <w:r>
        <w:rPr>
          <w:rFonts w:ascii="Times New Roman" w:hAnsi="Times New Roman"/>
          <w:b w:val="0"/>
          <w:i w:val="0"/>
          <w:sz w:val="24"/>
        </w:rPr>
        <w:t xml:space="preserve">, Albert Watson (Defendant's father) stated on audio/video recording: </w:t>
      </w:r>
      <w:r>
        <w:rPr>
          <w:rFonts w:ascii="Times New Roman" w:hAnsi="Times New Roman"/>
          <w:b/>
          <w:i w:val="0"/>
          <w:sz w:val="24"/>
        </w:rPr>
        <w:t>"I will make sure that you don't see your son"</w:t>
      </w:r>
      <w:r>
        <w:rPr>
          <w:rFonts w:ascii="Times New Roman" w:hAnsi="Times New Roman"/>
          <w:b w:val="0"/>
          <w:i w:val="0"/>
          <w:sz w:val="24"/>
        </w:rPr>
        <w:t xml:space="preserve"> — a verbatim declaration of intent to alienate. On </w:t>
      </w:r>
      <w:r>
        <w:rPr>
          <w:rFonts w:ascii="Times New Roman" w:hAnsi="Times New Roman"/>
          <w:b/>
          <w:i w:val="0"/>
          <w:sz w:val="24"/>
        </w:rPr>
        <w:t>August 7, 2025</w:t>
      </w:r>
      <w:r>
        <w:rPr>
          <w:rFonts w:ascii="Times New Roman" w:hAnsi="Times New Roman"/>
          <w:b w:val="0"/>
          <w:i w:val="0"/>
          <w:sz w:val="24"/>
        </w:rPr>
        <w:t xml:space="preserve">, Albert Watson admitted to NSPD Officer Ella Randall (#47437, Case NS2505044): </w:t>
      </w:r>
      <w:r>
        <w:rPr>
          <w:rFonts w:ascii="Times New Roman" w:hAnsi="Times New Roman"/>
          <w:b w:val="0"/>
          <w:i/>
          <w:sz w:val="24"/>
        </w:rPr>
        <w:t>"they want this documented so Emily can go tomorrow to get an Ex Parte order."</w:t>
      </w:r>
      <w:r>
        <w:rPr>
          <w:rFonts w:ascii="Times New Roman" w:hAnsi="Times New Roman"/>
          <w:b w:val="0"/>
          <w:i w:val="0"/>
          <w:sz w:val="24"/>
        </w:rPr>
        <w:t xml:space="preserve"> These statements establish that the false allegations were not filed for legitimate safety concerns but as premeditated litigation weapons. The court refused to admit Father's lawful recording while crediting Lori Watson's recording made in violation of MCL 750.539d.</w:t>
      </w:r>
    </w:p>
    <w:p>
      <w:pPr>
        <w:keepNext/>
        <w:spacing w:line="480" w:lineRule="auto" w:after="0" w:before="0"/>
      </w:pPr>
      <w:r>
        <w:rPr>
          <w:rFonts w:ascii="Times New Roman" w:hAnsi="Times New Roman"/>
          <w:b/>
          <w:i w:val="0"/>
          <w:sz w:val="24"/>
        </w:rPr>
        <w:t>B. The Five Categories of False Allegations</w:t>
      </w:r>
    </w:p>
    <w:p>
      <w:pPr>
        <w:spacing w:line="480" w:lineRule="auto" w:after="0" w:before="0"/>
      </w:pPr>
      <w:r>
        <w:rPr>
          <w:rFonts w:ascii="Times New Roman" w:hAnsi="Times New Roman"/>
          <w:b w:val="0"/>
          <w:i w:val="0"/>
          <w:sz w:val="24"/>
        </w:rPr>
        <w:t>##### (i) The False Arsenic Allegation</w:t>
      </w:r>
    </w:p>
    <w:p>
      <w:pPr>
        <w:spacing w:line="480" w:lineRule="auto" w:after="0" w:before="0"/>
      </w:pPr>
      <w:r>
        <w:rPr>
          <w:rFonts w:ascii="Times New Roman" w:hAnsi="Times New Roman"/>
          <w:b/>
          <w:sz w:val="24"/>
        </w:rPr>
        <w:t xml:space="preserve">8. </w:t>
      </w:r>
      <w:r>
        <w:rPr>
          <w:rFonts w:ascii="Times New Roman" w:hAnsi="Times New Roman"/>
          <w:b w:val="0"/>
          <w:i w:val="0"/>
          <w:sz w:val="24"/>
        </w:rPr>
        <w:t>Defendant alleged that Father attempted to poison her or their minor child, Lincoln (DOB: November 9, 2022), with arsenic.</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This allegation was investigated by the Norton Shores Police Department. The investigation found </w:t>
      </w:r>
      <w:r>
        <w:rPr>
          <w:rFonts w:ascii="Times New Roman" w:hAnsi="Times New Roman"/>
          <w:b/>
          <w:i w:val="0"/>
          <w:sz w:val="24"/>
        </w:rPr>
        <w:t>NO EVIDENCE</w:t>
      </w:r>
      <w:r>
        <w:rPr>
          <w:rFonts w:ascii="Times New Roman" w:hAnsi="Times New Roman"/>
          <w:b w:val="0"/>
          <w:i w:val="0"/>
          <w:sz w:val="24"/>
        </w:rPr>
        <w:t xml:space="preserve"> of any poisoning attempt, no arsenic exposure, no medical records supporting exposure, and no basis for the claim.</w:t>
      </w:r>
    </w:p>
    <w:p>
      <w:pPr>
        <w:spacing w:line="480" w:lineRule="auto" w:after="0" w:before="0"/>
      </w:pPr>
      <w:r>
        <w:rPr>
          <w:rFonts w:ascii="Times New Roman" w:hAnsi="Times New Roman"/>
          <w:b/>
          <w:sz w:val="24"/>
        </w:rPr>
        <w:t xml:space="preserve">10. </w:t>
      </w:r>
      <w:r>
        <w:rPr>
          <w:rFonts w:ascii="Times New Roman" w:hAnsi="Times New Roman"/>
          <w:b w:val="0"/>
          <w:i w:val="0"/>
          <w:sz w:val="24"/>
        </w:rPr>
        <w:t>Despite the police finding of no evidence, this allegation was included in PPO petitions and show-cause filings signed by Defendant and/or her counsel as if it were established fact.</w:t>
      </w:r>
    </w:p>
    <w:p>
      <w:pPr>
        <w:spacing w:line="480" w:lineRule="auto" w:after="0" w:before="0"/>
      </w:pPr>
      <w:r>
        <w:rPr>
          <w:rFonts w:ascii="Times New Roman" w:hAnsi="Times New Roman"/>
          <w:b w:val="0"/>
          <w:i w:val="0"/>
          <w:sz w:val="24"/>
        </w:rPr>
        <w:t>##### (ii) The False Assault Allegation</w:t>
      </w:r>
    </w:p>
    <w:p>
      <w:pPr>
        <w:spacing w:line="480" w:lineRule="auto" w:after="0" w:before="0"/>
      </w:pPr>
      <w:r>
        <w:rPr>
          <w:rFonts w:ascii="Times New Roman" w:hAnsi="Times New Roman"/>
          <w:b/>
          <w:sz w:val="24"/>
        </w:rPr>
        <w:t xml:space="preserve">11. </w:t>
      </w:r>
      <w:r>
        <w:rPr>
          <w:rFonts w:ascii="Times New Roman" w:hAnsi="Times New Roman"/>
          <w:b w:val="0"/>
          <w:i w:val="0"/>
          <w:sz w:val="24"/>
        </w:rPr>
        <w:t>Defendant alleged that Father committed assault against her person.</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Norton Shores Police Department investigated this allegation. Officer Jacob Kyle Fulton responded on February 2, 2023, at 3:30 AM (Case NSPD-2023-081, Offense Code 98006: "CML &amp; FAMILY DISPUTES"). The report documented </w:t>
      </w:r>
      <w:r>
        <w:rPr>
          <w:rFonts w:ascii="Times New Roman" w:hAnsi="Times New Roman"/>
          <w:b/>
          <w:i w:val="0"/>
          <w:sz w:val="24"/>
        </w:rPr>
        <w:t>four (4) counts</w:t>
      </w:r>
      <w:r>
        <w:rPr>
          <w:rFonts w:ascii="Times New Roman" w:hAnsi="Times New Roman"/>
          <w:b w:val="0"/>
          <w:i w:val="0"/>
          <w:sz w:val="24"/>
        </w:rPr>
        <w:t xml:space="preserve"> of "CML &amp; FAMILY DISPUTES" — a civil/family dispute classification — NOT assault. No criminal charges were filed. No assault was found.</w:t>
      </w:r>
    </w:p>
    <w:p>
      <w:pPr>
        <w:spacing w:line="480" w:lineRule="auto" w:after="0" w:before="0"/>
      </w:pPr>
      <w:r>
        <w:rPr>
          <w:rFonts w:ascii="Times New Roman" w:hAnsi="Times New Roman"/>
          <w:b/>
          <w:sz w:val="24"/>
        </w:rPr>
        <w:t xml:space="preserve">13. </w:t>
      </w:r>
      <w:r>
        <w:rPr>
          <w:rFonts w:ascii="Times New Roman" w:hAnsi="Times New Roman"/>
          <w:b w:val="0"/>
          <w:i w:val="0"/>
          <w:sz w:val="24"/>
        </w:rPr>
        <w:t>Officer Tyler Ritchie further documented the circumstances in his narrative of December 2, 2023 (Case #NSPD-2023-08121). His findings confirmed no assault occurred.</w:t>
      </w:r>
    </w:p>
    <w:p>
      <w:pPr>
        <w:spacing w:line="480" w:lineRule="auto" w:after="0" w:before="0"/>
      </w:pPr>
      <w:r>
        <w:rPr>
          <w:rFonts w:ascii="Times New Roman" w:hAnsi="Times New Roman"/>
          <w:b/>
          <w:sz w:val="24"/>
        </w:rPr>
        <w:t xml:space="preserve">14. </w:t>
      </w:r>
      <w:r>
        <w:rPr>
          <w:rFonts w:ascii="Times New Roman" w:hAnsi="Times New Roman"/>
          <w:b w:val="0"/>
          <w:i w:val="0"/>
          <w:sz w:val="24"/>
        </w:rPr>
        <w:t>Despite these police findings, Defendant and her counsel continued to characterize Father as violent and assaultive in subsequent filings.</w:t>
      </w:r>
    </w:p>
    <w:p>
      <w:pPr>
        <w:spacing w:line="480" w:lineRule="auto" w:after="0" w:before="0"/>
      </w:pPr>
      <w:r>
        <w:rPr>
          <w:rFonts w:ascii="Times New Roman" w:hAnsi="Times New Roman"/>
          <w:b w:val="0"/>
          <w:i w:val="0"/>
          <w:sz w:val="24"/>
        </w:rPr>
        <w:t>##### (iii) The False Drug Allegation</w:t>
      </w:r>
    </w:p>
    <w:p>
      <w:pPr>
        <w:spacing w:line="480" w:lineRule="auto" w:after="0" w:before="0"/>
      </w:pPr>
      <w:r>
        <w:rPr>
          <w:rFonts w:ascii="Times New Roman" w:hAnsi="Times New Roman"/>
          <w:b/>
          <w:sz w:val="24"/>
        </w:rPr>
        <w:t xml:space="preserve">15. </w:t>
      </w:r>
      <w:r>
        <w:rPr>
          <w:rFonts w:ascii="Times New Roman" w:hAnsi="Times New Roman"/>
          <w:b w:val="0"/>
          <w:i w:val="0"/>
          <w:sz w:val="24"/>
        </w:rPr>
        <w:t>Defendant alleged that Father was engaged in drug use or drug activity that endangered the minor child.</w:t>
      </w:r>
    </w:p>
    <w:p>
      <w:pPr>
        <w:spacing w:line="480" w:lineRule="auto" w:after="0" w:before="0"/>
      </w:pPr>
      <w:r>
        <w:rPr>
          <w:rFonts w:ascii="Times New Roman" w:hAnsi="Times New Roman"/>
          <w:b/>
          <w:sz w:val="24"/>
        </w:rPr>
        <w:t xml:space="preserve">16. </w:t>
      </w:r>
      <w:r>
        <w:rPr>
          <w:rFonts w:ascii="Times New Roman" w:hAnsi="Times New Roman"/>
          <w:b w:val="0"/>
          <w:i w:val="0"/>
          <w:sz w:val="24"/>
        </w:rPr>
        <w:t>This allegation was investigated by law enforcement and found to be entirely without basis. No drug evidence was recovered, no drug tests were positive, and no charges were filed.</w:t>
      </w:r>
    </w:p>
    <w:p>
      <w:pPr>
        <w:spacing w:line="480" w:lineRule="auto" w:after="0" w:before="0"/>
      </w:pPr>
      <w:r>
        <w:rPr>
          <w:rFonts w:ascii="Times New Roman" w:hAnsi="Times New Roman"/>
          <w:b/>
          <w:sz w:val="24"/>
        </w:rPr>
        <w:t xml:space="preserve">17. </w:t>
      </w:r>
      <w:r>
        <w:rPr>
          <w:rFonts w:ascii="Times New Roman" w:hAnsi="Times New Roman"/>
          <w:b w:val="0"/>
          <w:i w:val="0"/>
          <w:sz w:val="24"/>
        </w:rPr>
        <w:t>Despite the absence of any supporting evidence, this allegation was repeated in multiple filings signed by counsel.</w:t>
      </w:r>
    </w:p>
    <w:p>
      <w:pPr>
        <w:spacing w:line="480" w:lineRule="auto" w:after="0" w:before="0"/>
      </w:pPr>
      <w:r>
        <w:rPr>
          <w:rFonts w:ascii="Times New Roman" w:hAnsi="Times New Roman"/>
          <w:b w:val="0"/>
          <w:i w:val="0"/>
          <w:sz w:val="24"/>
        </w:rPr>
        <w:t>##### (iv) The False Cocaine Allegation</w:t>
      </w:r>
    </w:p>
    <w:p>
      <w:pPr>
        <w:spacing w:line="480" w:lineRule="auto" w:after="0" w:before="0"/>
      </w:pPr>
      <w:r>
        <w:rPr>
          <w:rFonts w:ascii="Times New Roman" w:hAnsi="Times New Roman"/>
          <w:b/>
          <w:sz w:val="24"/>
        </w:rPr>
        <w:t xml:space="preserve">18. </w:t>
      </w:r>
      <w:r>
        <w:rPr>
          <w:rFonts w:ascii="Times New Roman" w:hAnsi="Times New Roman"/>
          <w:b w:val="0"/>
          <w:i w:val="0"/>
          <w:sz w:val="24"/>
        </w:rPr>
        <w:t>Defendant specifically alleged that Father was involved with cocaine.</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This specific and serious allegation was investigated and found to be </w:t>
      </w:r>
      <w:r>
        <w:rPr>
          <w:rFonts w:ascii="Times New Roman" w:hAnsi="Times New Roman"/>
          <w:b/>
          <w:i w:val="0"/>
          <w:sz w:val="24"/>
        </w:rPr>
        <w:t>completely fabricated</w:t>
      </w:r>
      <w:r>
        <w:rPr>
          <w:rFonts w:ascii="Times New Roman" w:hAnsi="Times New Roman"/>
          <w:b w:val="0"/>
          <w:i w:val="0"/>
          <w:sz w:val="24"/>
        </w:rPr>
        <w:t>. No cocaine was found, no positive drug tests were produced, no law enforcement officer observed any evidence of cocaine use or possession.</w:t>
      </w:r>
    </w:p>
    <w:p>
      <w:pPr>
        <w:spacing w:line="480" w:lineRule="auto" w:after="0" w:before="0"/>
      </w:pPr>
      <w:r>
        <w:rPr>
          <w:rFonts w:ascii="Times New Roman" w:hAnsi="Times New Roman"/>
          <w:b/>
          <w:sz w:val="24"/>
        </w:rPr>
        <w:t xml:space="preserve">20. </w:t>
      </w:r>
      <w:r>
        <w:rPr>
          <w:rFonts w:ascii="Times New Roman" w:hAnsi="Times New Roman"/>
          <w:b w:val="0"/>
          <w:i w:val="0"/>
          <w:sz w:val="24"/>
        </w:rPr>
        <w:t>Filing a pleading containing a specific allegation of cocaine use — when there is zero evidence to support it and affirmative evidence disproving it — is precisely the type of conduct MCR 2.114(D) was designed to sanction.</w:t>
      </w:r>
    </w:p>
    <w:p>
      <w:pPr>
        <w:spacing w:line="480" w:lineRule="auto" w:after="0" w:before="0"/>
      </w:pPr>
      <w:r>
        <w:rPr>
          <w:rFonts w:ascii="Times New Roman" w:hAnsi="Times New Roman"/>
          <w:b w:val="0"/>
          <w:i w:val="0"/>
          <w:sz w:val="24"/>
        </w:rPr>
        <w:t>##### (v) The False Stalking Allegation</w:t>
      </w:r>
    </w:p>
    <w:p>
      <w:pPr>
        <w:spacing w:line="480" w:lineRule="auto" w:after="0" w:before="0"/>
      </w:pPr>
      <w:r>
        <w:rPr>
          <w:rFonts w:ascii="Times New Roman" w:hAnsi="Times New Roman"/>
          <w:b/>
          <w:sz w:val="24"/>
        </w:rPr>
        <w:t xml:space="preserve">21. </w:t>
      </w:r>
      <w:r>
        <w:rPr>
          <w:rFonts w:ascii="Times New Roman" w:hAnsi="Times New Roman"/>
          <w:b w:val="0"/>
          <w:i w:val="0"/>
          <w:sz w:val="24"/>
        </w:rPr>
        <w:t>Defendant alleged that Father was stalking her in violation of MCL 750.411h (harassment/stalking statute).</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The Norton Shores Police Department investigated and found </w:t>
      </w:r>
      <w:r>
        <w:rPr>
          <w:rFonts w:ascii="Times New Roman" w:hAnsi="Times New Roman"/>
          <w:b/>
          <w:i w:val="0"/>
          <w:sz w:val="24"/>
        </w:rPr>
        <w:t>"No PPO violation occurred."</w:t>
      </w:r>
      <w:r>
        <w:rPr>
          <w:rFonts w:ascii="Times New Roman" w:hAnsi="Times New Roman"/>
          <w:b w:val="0"/>
          <w:i w:val="0"/>
          <w:sz w:val="24"/>
        </w:rPr>
        <w:t xml:space="preserve"> This direct quote from police findings stands in stark contrast to the allegations filed with this Court.</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Despite the police finding of no PPO violation and no stalking, Defendant filed </w:t>
      </w:r>
      <w:r>
        <w:rPr>
          <w:rFonts w:ascii="Times New Roman" w:hAnsi="Times New Roman"/>
          <w:b/>
          <w:i w:val="0"/>
          <w:sz w:val="24"/>
        </w:rPr>
        <w:t>Show Cause Motion #7</w:t>
      </w:r>
      <w:r>
        <w:rPr>
          <w:rFonts w:ascii="Times New Roman" w:hAnsi="Times New Roman"/>
          <w:b w:val="0"/>
          <w:i w:val="0"/>
          <w:sz w:val="24"/>
        </w:rPr>
        <w:t xml:space="preserve"> alleging the PPO is "the only thing keeping [her] safe" and that Father is "impulsive and erratic." These characterizations are not supported by any evidence in the record and are contradicted by every police investigation.</w:t>
      </w:r>
    </w:p>
    <w:p>
      <w:r>
        <w:br w:type="page"/>
      </w:r>
    </w:p>
    <w:p>
      <w:pPr>
        <w:pStyle w:val="Heading3"/>
      </w:pPr>
      <w:r>
        <w:rPr>
          <w:rFonts w:ascii="Times New Roman" w:hAnsi="Times New Roman"/>
        </w:rPr>
        <w:t>III. THE PATTERN OF STRATEGIC FILING</w:t>
      </w:r>
    </w:p>
    <w:p>
      <w:pPr>
        <w:spacing w:line="480" w:lineRule="auto" w:after="0" w:before="0"/>
      </w:pPr>
      <w:r>
        <w:rPr>
          <w:rFonts w:ascii="Times New Roman" w:hAnsi="Times New Roman"/>
          <w:b/>
          <w:sz w:val="24"/>
        </w:rPr>
        <w:t xml:space="preserve">24. </w:t>
      </w:r>
      <w:r>
        <w:rPr>
          <w:rFonts w:ascii="Times New Roman" w:hAnsi="Times New Roman"/>
          <w:b w:val="0"/>
          <w:i w:val="0"/>
          <w:sz w:val="24"/>
        </w:rPr>
        <w:t>The timing of Defendant's frivolous filings demonstrates that they are strategically deployed as litigation weapons rather than good-faith attempts to address genuine safety concerns:</w:t>
      </w:r>
    </w:p>
    <w:p>
      <w:pPr>
        <w:spacing w:line="480" w:lineRule="auto" w:after="0" w:before="0"/>
      </w:pPr>
      <w:r>
        <w:rPr>
          <w:rFonts w:ascii="Times New Roman" w:hAnsi="Times New Roman"/>
          <w:b/>
          <w:sz w:val="24"/>
        </w:rPr>
        <w:t xml:space="preserve">25. </w:t>
      </w:r>
      <w:r>
        <w:rPr>
          <w:rFonts w:ascii="Times New Roman" w:hAnsi="Times New Roman"/>
          <w:b/>
          <w:i w:val="0"/>
          <w:sz w:val="24"/>
        </w:rPr>
        <w:t>Show Cause Motion #7</w:t>
      </w:r>
      <w:r>
        <w:rPr>
          <w:rFonts w:ascii="Times New Roman" w:hAnsi="Times New Roman"/>
          <w:b w:val="0"/>
          <w:i w:val="0"/>
          <w:sz w:val="24"/>
        </w:rPr>
        <w:t xml:space="preserve"> was filed on or about </w:t>
      </w:r>
      <w:r>
        <w:rPr>
          <w:rFonts w:ascii="Times New Roman" w:hAnsi="Times New Roman"/>
          <w:b/>
          <w:i w:val="0"/>
          <w:sz w:val="24"/>
        </w:rPr>
        <w:t>October 27, 2025</w:t>
      </w:r>
      <w:r>
        <w:rPr>
          <w:rFonts w:ascii="Times New Roman" w:hAnsi="Times New Roman"/>
          <w:b w:val="0"/>
          <w:i w:val="0"/>
          <w:sz w:val="24"/>
        </w:rPr>
        <w:t xml:space="preserve"> — exactly </w:t>
      </w:r>
      <w:r>
        <w:rPr>
          <w:rFonts w:ascii="Times New Roman" w:hAnsi="Times New Roman"/>
          <w:b/>
          <w:i w:val="0"/>
          <w:sz w:val="24"/>
        </w:rPr>
        <w:t>two (2) days</w:t>
      </w:r>
      <w:r>
        <w:rPr>
          <w:rFonts w:ascii="Times New Roman" w:hAnsi="Times New Roman"/>
          <w:b w:val="0"/>
          <w:i w:val="0"/>
          <w:sz w:val="24"/>
        </w:rPr>
        <w:t xml:space="preserve"> before the scheduled </w:t>
      </w:r>
      <w:r>
        <w:rPr>
          <w:rFonts w:ascii="Times New Roman" w:hAnsi="Times New Roman"/>
          <w:b/>
          <w:i w:val="0"/>
          <w:sz w:val="24"/>
        </w:rPr>
        <w:t>October 29, 2025 custody hearing</w:t>
      </w:r>
      <w:r>
        <w:rPr>
          <w:rFonts w:ascii="Times New Roman" w:hAnsi="Times New Roman"/>
          <w:b w:val="0"/>
          <w:i w:val="0"/>
          <w:sz w:val="24"/>
        </w:rPr>
        <w:t>. This timing is not coincidental. It is a pattern of using PPO proceedings to gain tactical advantage in custody litigation.</w:t>
      </w:r>
    </w:p>
    <w:p>
      <w:pPr>
        <w:spacing w:line="480" w:lineRule="auto" w:after="0" w:before="0"/>
      </w:pPr>
      <w:r>
        <w:rPr>
          <w:rFonts w:ascii="Times New Roman" w:hAnsi="Times New Roman"/>
          <w:b/>
          <w:sz w:val="24"/>
        </w:rPr>
        <w:t xml:space="preserve">26. </w:t>
      </w:r>
      <w:r>
        <w:rPr>
          <w:rFonts w:ascii="Times New Roman" w:hAnsi="Times New Roman"/>
          <w:b w:val="0"/>
          <w:i w:val="0"/>
          <w:sz w:val="24"/>
        </w:rPr>
        <w:t>This pattern has been repeated throughout these proceedings. Each show-cause motion or PPO petition has been timed to coincide with or immediately precede critical custody proceedings.</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The effect of this pattern has been devastating: Father's parenting time has been reduced from </w:t>
      </w:r>
      <w:r>
        <w:rPr>
          <w:rFonts w:ascii="Times New Roman" w:hAnsi="Times New Roman"/>
          <w:b/>
          <w:i w:val="0"/>
          <w:sz w:val="24"/>
        </w:rPr>
        <w:t>50/50 custody</w:t>
      </w:r>
      <w:r>
        <w:rPr>
          <w:rFonts w:ascii="Times New Roman" w:hAnsi="Times New Roman"/>
          <w:b w:val="0"/>
          <w:i w:val="0"/>
          <w:sz w:val="24"/>
        </w:rPr>
        <w:t xml:space="preserve"> → to </w:t>
      </w:r>
      <w:r>
        <w:rPr>
          <w:rFonts w:ascii="Times New Roman" w:hAnsi="Times New Roman"/>
          <w:b/>
          <w:i w:val="0"/>
          <w:sz w:val="24"/>
        </w:rPr>
        <w:t>79 overnights per year (July 2024)</w:t>
      </w:r>
      <w:r>
        <w:rPr>
          <w:rFonts w:ascii="Times New Roman" w:hAnsi="Times New Roman"/>
          <w:b w:val="0"/>
          <w:i w:val="0"/>
          <w:sz w:val="24"/>
        </w:rPr>
        <w:t xml:space="preserve"> → to </w:t>
      </w:r>
      <w:r>
        <w:rPr>
          <w:rFonts w:ascii="Times New Roman" w:hAnsi="Times New Roman"/>
          <w:b/>
          <w:i w:val="0"/>
          <w:sz w:val="24"/>
        </w:rPr>
        <w:t>ZERO overnights (August 2025)</w:t>
      </w:r>
      <w:r>
        <w:rPr>
          <w:rFonts w:ascii="Times New Roman" w:hAnsi="Times New Roman"/>
          <w:b w:val="0"/>
          <w:i w:val="0"/>
          <w:sz w:val="24"/>
        </w:rPr>
        <w:t xml:space="preserve"> — a complete elimination accomplished through the accumulation of false, frivolous filings.</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Father has now been denied ALL parenting time for </w:t>
      </w:r>
      <w:r>
        <w:rPr>
          <w:rFonts w:ascii="Times New Roman" w:hAnsi="Times New Roman"/>
          <w:b/>
          <w:i w:val="0"/>
          <w:sz w:val="24"/>
        </w:rPr>
        <w:t>329+ consecutive days</w:t>
      </w:r>
      <w:r>
        <w:rPr>
          <w:rFonts w:ascii="Times New Roman" w:hAnsi="Times New Roman"/>
          <w:b w:val="0"/>
          <w:i w:val="0"/>
          <w:sz w:val="24"/>
        </w:rPr>
        <w:t>, resulting in severe and potentially irreparable harm to the parent-child bond with his three-year-old son during a critical developmental attachment period.</w:t>
      </w:r>
    </w:p>
    <w:p>
      <w:r>
        <w:br w:type="page"/>
      </w:r>
    </w:p>
    <w:p>
      <w:pPr>
        <w:pStyle w:val="Heading3"/>
      </w:pPr>
      <w:r>
        <w:rPr>
          <w:rFonts w:ascii="Times New Roman" w:hAnsi="Times New Roman"/>
        </w:rPr>
        <w:t>IV. COUNSEL'S OBLIGATIONS UNDER MCR 2.114</w:t>
      </w:r>
    </w:p>
    <w:p>
      <w:pPr>
        <w:spacing w:line="480" w:lineRule="auto" w:after="0" w:before="0"/>
      </w:pPr>
      <w:r>
        <w:rPr>
          <w:rFonts w:ascii="Times New Roman" w:hAnsi="Times New Roman"/>
          <w:b/>
          <w:sz w:val="24"/>
        </w:rPr>
        <w:t xml:space="preserve">29. </w:t>
      </w:r>
      <w:r>
        <w:rPr>
          <w:rFonts w:ascii="Times New Roman" w:hAnsi="Times New Roman"/>
          <w:b w:val="0"/>
          <w:i w:val="0"/>
          <w:sz w:val="24"/>
        </w:rPr>
        <w:t>MCR 2.114(B) provides that the signature of an attorney constitutes certification that:</w:t>
      </w:r>
    </w:p>
    <w:p>
      <w:pPr>
        <w:spacing w:line="480" w:lineRule="auto" w:after="0" w:before="0"/>
      </w:pPr>
      <w:r>
        <w:rPr>
          <w:rFonts w:ascii="Times New Roman" w:hAnsi="Times New Roman"/>
          <w:b w:val="0"/>
          <w:i w:val="0"/>
          <w:sz w:val="24"/>
        </w:rPr>
        <w:t>- (1) The signer has read the document; - (2) To the best of the signer's knowledge, information, and belief formed after reasonable inquiry, the document is well grounded in fact; - (3) The document is warranted by existing law or a good faith argument for extension, modification, or reversal of existing law; and - (4) The document is not interposed for any improper purpose, such as to harass or to cause unnecessary delay or needless increase in the cost of litigation.</w:t>
      </w:r>
    </w:p>
    <w:p>
      <w:pPr>
        <w:spacing w:line="480" w:lineRule="auto" w:after="0" w:before="0"/>
      </w:pPr>
      <w:r>
        <w:rPr>
          <w:rFonts w:ascii="Times New Roman" w:hAnsi="Times New Roman"/>
          <w:b/>
          <w:sz w:val="24"/>
        </w:rPr>
        <w:t xml:space="preserve">30. </w:t>
      </w:r>
      <w:r>
        <w:rPr>
          <w:rFonts w:ascii="Times New Roman" w:hAnsi="Times New Roman"/>
          <w:b w:val="0"/>
          <w:i w:val="0"/>
          <w:sz w:val="24"/>
        </w:rPr>
        <w:t xml:space="preserve">Attorney Jennifer Barnes signed and filed pleadings containing the five categories of false allegations described above. A reasonable inquiry — which would include reviewing the </w:t>
      </w:r>
      <w:r>
        <w:rPr>
          <w:rFonts w:ascii="Times New Roman" w:hAnsi="Times New Roman"/>
          <w:b/>
          <w:i w:val="0"/>
          <w:sz w:val="24"/>
        </w:rPr>
        <w:t>seven or more police investigation reports</w:t>
      </w:r>
      <w:r>
        <w:rPr>
          <w:rFonts w:ascii="Times New Roman" w:hAnsi="Times New Roman"/>
          <w:b w:val="0"/>
          <w:i w:val="0"/>
          <w:sz w:val="24"/>
        </w:rPr>
        <w:t xml:space="preserve"> finding no violations — would have revealed that these allegations are not "well grounded in fact."</w:t>
      </w:r>
    </w:p>
    <w:p>
      <w:pPr>
        <w:spacing w:line="480" w:lineRule="auto" w:after="0" w:before="0"/>
      </w:pPr>
      <w:r>
        <w:rPr>
          <w:rFonts w:ascii="Times New Roman" w:hAnsi="Times New Roman"/>
          <w:b/>
          <w:sz w:val="24"/>
        </w:rPr>
        <w:t xml:space="preserve">31. </w:t>
      </w:r>
      <w:r>
        <w:rPr>
          <w:rFonts w:ascii="Times New Roman" w:hAnsi="Times New Roman"/>
          <w:b w:val="0"/>
          <w:i w:val="0"/>
          <w:sz w:val="24"/>
        </w:rPr>
        <w:t>Counsel's failure to conduct reasonable inquiry before filing, or alternatively, counsel's decision to file despite knowing the allegations lacked factual support, violates MCR 2.114(B)(2) and MCR 2.114(D).</w:t>
      </w:r>
    </w:p>
    <w:p>
      <w:pPr>
        <w:spacing w:line="480" w:lineRule="auto" w:after="0" w:before="0"/>
      </w:pPr>
      <w:r>
        <w:rPr>
          <w:rFonts w:ascii="Times New Roman" w:hAnsi="Times New Roman"/>
          <w:b w:val="0"/>
          <w:i w:val="0"/>
          <w:sz w:val="24"/>
        </w:rPr>
        <w:t xml:space="preserve">31A. </w:t>
      </w:r>
      <w:r>
        <w:rPr>
          <w:rFonts w:ascii="Times New Roman" w:hAnsi="Times New Roman"/>
          <w:b/>
          <w:i w:val="0"/>
          <w:sz w:val="24"/>
        </w:rPr>
        <w:t>Use of Criminally Obtained Evidence as Basis for Relief.</w:t>
      </w:r>
      <w:r>
        <w:rPr>
          <w:rFonts w:ascii="Times New Roman" w:hAnsi="Times New Roman"/>
          <w:b w:val="0"/>
          <w:i w:val="0"/>
          <w:sz w:val="24"/>
        </w:rPr>
        <w:t xml:space="preserve"> The ex parte motion to suspend parenting time was supported by a USB recording made by Lori Watson without Father's knowledge or consent — a felony under </w:t>
      </w:r>
      <w:r>
        <w:rPr>
          <w:rFonts w:ascii="Times New Roman" w:hAnsi="Times New Roman"/>
          <w:b/>
          <w:i w:val="0"/>
          <w:sz w:val="24"/>
        </w:rPr>
        <w:t>MCL 750.539d</w:t>
      </w:r>
      <w:r>
        <w:rPr>
          <w:rFonts w:ascii="Times New Roman" w:hAnsi="Times New Roman"/>
          <w:b w:val="0"/>
          <w:i w:val="0"/>
          <w:sz w:val="24"/>
        </w:rPr>
        <w:t xml:space="preserve"> (Michigan's eavesdropping statute, punishable by up to 2 years imprisonment). Counsel Jennifer Barnes submitted this recording to the court as the centerpiece of the August 2025 emergency relief request. A reasonable inquiry under MCR 2.114(B) would have revealed that: (a) the recording was made without consent of all parties; (b) Michigan is a two-party consent state; and (c) evidence obtained through criminal conduct constitutes fruit of a crime that is inadmissible. </w:t>
      </w:r>
      <w:r>
        <w:rPr>
          <w:rFonts w:ascii="Times New Roman" w:hAnsi="Times New Roman"/>
          <w:b w:val="0"/>
          <w:i/>
          <w:sz w:val="24"/>
        </w:rPr>
        <w:t>See People v Bednarz</w:t>
      </w:r>
      <w:r>
        <w:rPr>
          <w:rFonts w:ascii="Times New Roman" w:hAnsi="Times New Roman"/>
          <w:b w:val="0"/>
          <w:i w:val="0"/>
          <w:sz w:val="24"/>
        </w:rPr>
        <w:t xml:space="preserve">, 360 Mich 552 (1960). Filing a motion relying on evidence known or reasonably knowable to be the product of a felony is sanctionable under both MCR 2.114(E) and </w:t>
      </w:r>
      <w:r>
        <w:rPr>
          <w:rFonts w:ascii="Times New Roman" w:hAnsi="Times New Roman"/>
          <w:b/>
          <w:i w:val="0"/>
          <w:sz w:val="24"/>
        </w:rPr>
        <w:t>MCR 1.109(E)</w:t>
      </w:r>
      <w:r>
        <w:rPr>
          <w:rFonts w:ascii="Times New Roman" w:hAnsi="Times New Roman"/>
          <w:b w:val="0"/>
          <w:i w:val="0"/>
          <w:sz w:val="24"/>
        </w:rPr>
        <w:t xml:space="preserve"> (prohibiting documents filed for improper purpose).</w:t>
      </w:r>
    </w:p>
    <w:p>
      <w:pPr>
        <w:spacing w:line="480" w:lineRule="auto" w:after="0" w:before="0"/>
      </w:pPr>
      <w:r>
        <w:rPr>
          <w:rFonts w:ascii="Times New Roman" w:hAnsi="Times New Roman"/>
          <w:b/>
          <w:sz w:val="24"/>
        </w:rPr>
        <w:t xml:space="preserve">32. </w:t>
      </w:r>
      <w:r>
        <w:rPr>
          <w:rFonts w:ascii="Times New Roman" w:hAnsi="Times New Roman"/>
          <w:b w:val="0"/>
          <w:i w:val="0"/>
          <w:sz w:val="24"/>
        </w:rPr>
        <w:t>The repeated nature of these filings — filing the same debunked allegations multiple times — demonstrates that the documents were "interposed for an improper purpose," namely, to harass Father, to cause unnecessary delay, and to gain tactical advantage in custody proceedings, in violation of MCR 2.114(B)(4).</w:t>
      </w:r>
    </w:p>
    <w:p>
      <w:r>
        <w:br w:type="page"/>
      </w:r>
    </w:p>
    <w:p>
      <w:pPr>
        <w:pStyle w:val="Heading3"/>
      </w:pPr>
      <w:r>
        <w:rPr>
          <w:rFonts w:ascii="Times New Roman" w:hAnsi="Times New Roman"/>
        </w:rPr>
        <w:t>V. LEGAL STANDARD FOR SANCTIONS</w:t>
      </w:r>
    </w:p>
    <w:p>
      <w:pPr>
        <w:spacing w:line="480" w:lineRule="auto" w:after="0" w:before="0"/>
      </w:pPr>
      <w:r>
        <w:rPr>
          <w:rFonts w:ascii="Times New Roman" w:hAnsi="Times New Roman"/>
          <w:b/>
          <w:sz w:val="24"/>
        </w:rPr>
        <w:t xml:space="preserve">33. </w:t>
      </w:r>
      <w:r>
        <w:rPr>
          <w:rFonts w:ascii="Times New Roman" w:hAnsi="Times New Roman"/>
          <w:b w:val="0"/>
          <w:i w:val="0"/>
          <w:sz w:val="24"/>
        </w:rPr>
        <w:t xml:space="preserve">Under MCR 2.114(E), sanctions are </w:t>
      </w:r>
      <w:r>
        <w:rPr>
          <w:rFonts w:ascii="Times New Roman" w:hAnsi="Times New Roman"/>
          <w:b/>
          <w:i w:val="0"/>
          <w:sz w:val="24"/>
        </w:rPr>
        <w:t>mandatory</w:t>
      </w:r>
      <w:r>
        <w:rPr>
          <w:rFonts w:ascii="Times New Roman" w:hAnsi="Times New Roman"/>
          <w:b w:val="0"/>
          <w:i w:val="0"/>
          <w:sz w:val="24"/>
        </w:rPr>
        <w:t>, not discretionary, when a violation is found: "the court...shall impose...an appropriate sanction."</w:t>
      </w:r>
    </w:p>
    <w:p>
      <w:pPr>
        <w:spacing w:line="480" w:lineRule="auto" w:after="0" w:before="0"/>
      </w:pPr>
      <w:r>
        <w:rPr>
          <w:rFonts w:ascii="Times New Roman" w:hAnsi="Times New Roman"/>
          <w:b/>
          <w:sz w:val="24"/>
        </w:rPr>
        <w:t xml:space="preserve">34. </w:t>
      </w:r>
      <w:r>
        <w:rPr>
          <w:rFonts w:ascii="Times New Roman" w:hAnsi="Times New Roman"/>
          <w:b w:val="0"/>
          <w:i w:val="0"/>
          <w:sz w:val="24"/>
        </w:rPr>
        <w:t>MCR 2.114(F) provides that sanctions may include:</w:t>
      </w:r>
    </w:p>
    <w:p>
      <w:pPr>
        <w:spacing w:line="480" w:lineRule="auto" w:after="0" w:before="0"/>
      </w:pPr>
      <w:r>
        <w:rPr>
          <w:rFonts w:ascii="Times New Roman" w:hAnsi="Times New Roman"/>
          <w:b w:val="0"/>
          <w:i w:val="0"/>
          <w:sz w:val="24"/>
        </w:rPr>
        <w:t>- (1) Striking the offending pleading or portion thereof; - (2) An award of reasonable expenses, including attorney fees; - (3) Any other appropriate sanction.</w:t>
      </w:r>
    </w:p>
    <w:p>
      <w:pPr>
        <w:spacing w:line="480" w:lineRule="auto" w:after="0" w:before="0"/>
      </w:pPr>
      <w:r>
        <w:rPr>
          <w:rFonts w:ascii="Times New Roman" w:hAnsi="Times New Roman"/>
          <w:b/>
          <w:sz w:val="24"/>
        </w:rPr>
        <w:t xml:space="preserve">35. </w:t>
      </w:r>
      <w:r>
        <w:rPr>
          <w:rFonts w:ascii="Times New Roman" w:hAnsi="Times New Roman"/>
          <w:b w:val="0"/>
          <w:i w:val="0"/>
          <w:sz w:val="24"/>
        </w:rPr>
        <w:t>MCR 2.625 provides for the taxation of costs against a party who files frivolous claims or defenses.</w:t>
      </w:r>
    </w:p>
    <w:p>
      <w:pPr>
        <w:spacing w:line="480" w:lineRule="auto" w:after="0" w:before="0"/>
      </w:pPr>
      <w:r>
        <w:rPr>
          <w:rFonts w:ascii="Times New Roman" w:hAnsi="Times New Roman"/>
          <w:b/>
          <w:sz w:val="24"/>
        </w:rPr>
        <w:t xml:space="preserve">36. </w:t>
      </w:r>
      <w:r>
        <w:rPr>
          <w:rFonts w:ascii="Times New Roman" w:hAnsi="Times New Roman"/>
          <w:b w:val="0"/>
          <w:i w:val="0"/>
          <w:sz w:val="24"/>
        </w:rPr>
        <w:t xml:space="preserve">Michigan case law establishes that sanctions are appropriate where a party files pleadings containing allegations that are contradicted by readily available evidence. See </w:t>
      </w:r>
      <w:r>
        <w:rPr>
          <w:rFonts w:ascii="Times New Roman" w:hAnsi="Times New Roman"/>
          <w:b w:val="0"/>
          <w:i/>
          <w:sz w:val="24"/>
        </w:rPr>
        <w:t>Kitchen v Kitchen</w:t>
      </w:r>
      <w:r>
        <w:rPr>
          <w:rFonts w:ascii="Times New Roman" w:hAnsi="Times New Roman"/>
          <w:b w:val="0"/>
          <w:i w:val="0"/>
          <w:sz w:val="24"/>
        </w:rPr>
        <w:t>, 465 Mich 654; 641 NW2d 245 (2002) (discussing attorney obligations under court rules).</w:t>
      </w:r>
    </w:p>
    <w:p>
      <w:pPr>
        <w:spacing w:line="480" w:lineRule="auto" w:after="0" w:before="0"/>
      </w:pPr>
      <w:r>
        <w:rPr>
          <w:rFonts w:ascii="Times New Roman" w:hAnsi="Times New Roman"/>
          <w:b/>
          <w:sz w:val="24"/>
        </w:rPr>
        <w:t xml:space="preserve">37. </w:t>
      </w:r>
      <w:r>
        <w:rPr>
          <w:rFonts w:ascii="Times New Roman" w:hAnsi="Times New Roman"/>
          <w:b w:val="0"/>
          <w:i w:val="0"/>
          <w:sz w:val="24"/>
        </w:rPr>
        <w:t>The Michigan Supreme Court has recognized that frivolous filings in family court proceedings cause particular harm because they consume judicial resources, increase litigation costs for opposing parties, and — critically — directly harm the children whose best interests the court is charged with protecting.</w:t>
      </w:r>
    </w:p>
    <w:p>
      <w:r>
        <w:br w:type="page"/>
      </w:r>
    </w:p>
    <w:p>
      <w:pPr>
        <w:pStyle w:val="Heading3"/>
      </w:pPr>
      <w:r>
        <w:rPr>
          <w:rFonts w:ascii="Times New Roman" w:hAnsi="Times New Roman"/>
        </w:rPr>
        <w:t>VI.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Andrew J. Pigors respectfully requests that this Honorable Court:</w:t>
      </w:r>
    </w:p>
    <w:p>
      <w:pPr>
        <w:spacing w:line="480" w:lineRule="auto" w:after="0" w:before="0"/>
      </w:pPr>
      <w:r>
        <w:rPr>
          <w:rFonts w:ascii="Times New Roman" w:hAnsi="Times New Roman"/>
          <w:b/>
          <w:sz w:val="24"/>
        </w:rPr>
        <w:t xml:space="preserve">38. </w:t>
      </w:r>
      <w:r>
        <w:rPr>
          <w:rFonts w:ascii="Times New Roman" w:hAnsi="Times New Roman"/>
          <w:b/>
          <w:i w:val="0"/>
          <w:sz w:val="24"/>
        </w:rPr>
        <w:t>(a)</w:t>
      </w:r>
      <w:r>
        <w:rPr>
          <w:rFonts w:ascii="Times New Roman" w:hAnsi="Times New Roman"/>
          <w:b w:val="0"/>
          <w:i w:val="0"/>
          <w:sz w:val="24"/>
        </w:rPr>
        <w:t xml:space="preserve"> Find that Defendant Emily A. Watson and her counsel, Jennifer Barnes, violated MCR 2.114(D) by filing pleadings that were not well grounded in fact;</w:t>
      </w:r>
    </w:p>
    <w:p>
      <w:pPr>
        <w:spacing w:line="480" w:lineRule="auto" w:after="0" w:before="0"/>
      </w:pPr>
      <w:r>
        <w:rPr>
          <w:rFonts w:ascii="Times New Roman" w:hAnsi="Times New Roman"/>
          <w:b/>
          <w:sz w:val="24"/>
        </w:rPr>
        <w:t xml:space="preserve">39. </w:t>
      </w:r>
      <w:r>
        <w:rPr>
          <w:rFonts w:ascii="Times New Roman" w:hAnsi="Times New Roman"/>
          <w:b/>
          <w:i w:val="0"/>
          <w:sz w:val="24"/>
        </w:rPr>
        <w:t>(b)</w:t>
      </w:r>
      <w:r>
        <w:rPr>
          <w:rFonts w:ascii="Times New Roman" w:hAnsi="Times New Roman"/>
          <w:b w:val="0"/>
          <w:i w:val="0"/>
          <w:sz w:val="24"/>
        </w:rPr>
        <w:t xml:space="preserve"> Find that the filings were interposed for an improper purpose in violation of MCR 2.114(B)(4);</w:t>
      </w:r>
    </w:p>
    <w:p>
      <w:pPr>
        <w:spacing w:line="480" w:lineRule="auto" w:after="0" w:before="0"/>
      </w:pPr>
      <w:r>
        <w:rPr>
          <w:rFonts w:ascii="Times New Roman" w:hAnsi="Times New Roman"/>
          <w:b/>
          <w:sz w:val="24"/>
        </w:rPr>
        <w:t xml:space="preserve">40. </w:t>
      </w:r>
      <w:r>
        <w:rPr>
          <w:rFonts w:ascii="Times New Roman" w:hAnsi="Times New Roman"/>
          <w:b/>
          <w:i w:val="0"/>
          <w:sz w:val="24"/>
        </w:rPr>
        <w:t>(c)</w:t>
      </w:r>
      <w:r>
        <w:rPr>
          <w:rFonts w:ascii="Times New Roman" w:hAnsi="Times New Roman"/>
          <w:b w:val="0"/>
          <w:i w:val="0"/>
          <w:sz w:val="24"/>
        </w:rPr>
        <w:t xml:space="preserve"> Impose sanctions pursuant to MCR 2.114(E), including but not limited to:</w:t>
      </w:r>
    </w:p>
    <w:p>
      <w:pPr>
        <w:spacing w:line="480" w:lineRule="auto" w:after="0" w:before="0"/>
      </w:pPr>
      <w:r>
        <w:rPr>
          <w:rFonts w:ascii="Times New Roman" w:hAnsi="Times New Roman"/>
          <w:b w:val="0"/>
          <w:i w:val="0"/>
          <w:sz w:val="24"/>
        </w:rPr>
        <w:t>- (i) An order striking all show-cause motions based on the five categories of false allegations; - (ii) An order prohibiting Defendant from filing further show-cause motions without leave of court and a preliminary showing of factual basis; - (iii) An award of Father's reasonable costs and expenses incurred in responding to the frivolous filings, calculated as follows: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Item</w:t>
            </w:r>
          </w:p>
        </w:tc>
        <w:tc>
          <w:tcPr>
            <w:tcW w:type="dxa" w:w="4680"/>
          </w:tcPr>
          <w:p>
            <w:pPr>
              <w:spacing w:line="240" w:lineRule="auto"/>
            </w:pPr>
            <w:r/>
            <w:r>
              <w:rPr>
                <w:rFonts w:ascii="Times New Roman" w:hAnsi="Times New Roman"/>
                <w:b/>
                <w:sz w:val="24"/>
              </w:rPr>
              <w:t>Amount</w:t>
            </w:r>
          </w:p>
        </w:tc>
      </w:tr>
      <w:tr>
        <w:tc>
          <w:tcPr>
            <w:tcW w:type="dxa" w:w="4680"/>
          </w:tcPr>
          <w:p>
            <w:pPr>
              <w:spacing w:line="240" w:lineRule="auto"/>
            </w:pPr>
            <w:r/>
            <w:r>
              <w:rPr>
                <w:rFonts w:ascii="Times New Roman" w:hAnsi="Times New Roman"/>
                <w:b w:val="0"/>
                <w:i w:val="0"/>
                <w:sz w:val="24"/>
              </w:rPr>
              <w:t>Seven (7) show-cause responses × estimated 15 hours each × $50/hour pro se rate</w:t>
            </w:r>
          </w:p>
        </w:tc>
        <w:tc>
          <w:tcPr>
            <w:tcW w:type="dxa" w:w="4680"/>
          </w:tcPr>
          <w:p>
            <w:pPr>
              <w:spacing w:line="240" w:lineRule="auto"/>
            </w:pPr>
            <w:r/>
            <w:r>
              <w:rPr>
                <w:rFonts w:ascii="Times New Roman" w:hAnsi="Times New Roman"/>
                <w:b/>
                <w:i w:val="0"/>
                <w:sz w:val="24"/>
              </w:rPr>
              <w:t>$5,250.00</w:t>
            </w:r>
          </w:p>
        </w:tc>
      </w:tr>
      <w:tr>
        <w:tc>
          <w:tcPr>
            <w:tcW w:type="dxa" w:w="4680"/>
          </w:tcPr>
          <w:p>
            <w:pPr>
              <w:spacing w:line="240" w:lineRule="auto"/>
            </w:pPr>
            <w:r/>
            <w:r>
              <w:rPr>
                <w:rFonts w:ascii="Times New Roman" w:hAnsi="Times New Roman"/>
                <w:b w:val="0"/>
                <w:i w:val="0"/>
                <w:sz w:val="24"/>
              </w:rPr>
              <w:t>Filing fees, copying, and service costs</w:t>
            </w:r>
          </w:p>
        </w:tc>
        <w:tc>
          <w:tcPr>
            <w:tcW w:type="dxa" w:w="4680"/>
          </w:tcPr>
          <w:p>
            <w:pPr>
              <w:spacing w:line="240" w:lineRule="auto"/>
            </w:pPr>
            <w:r/>
            <w:r>
              <w:rPr>
                <w:rFonts w:ascii="Times New Roman" w:hAnsi="Times New Roman"/>
                <w:b/>
                <w:i w:val="0"/>
                <w:sz w:val="24"/>
              </w:rPr>
              <w:t>$750.00</w:t>
            </w:r>
          </w:p>
        </w:tc>
      </w:tr>
      <w:tr>
        <w:tc>
          <w:tcPr>
            <w:tcW w:type="dxa" w:w="4680"/>
          </w:tcPr>
          <w:p>
            <w:pPr>
              <w:spacing w:line="240" w:lineRule="auto"/>
            </w:pPr>
            <w:r/>
            <w:r>
              <w:rPr>
                <w:rFonts w:ascii="Times New Roman" w:hAnsi="Times New Roman"/>
                <w:b w:val="0"/>
                <w:i w:val="0"/>
                <w:sz w:val="24"/>
              </w:rPr>
              <w:t>Lost wages for seven (7) court appearances</w:t>
            </w:r>
          </w:p>
        </w:tc>
        <w:tc>
          <w:tcPr>
            <w:tcW w:type="dxa" w:w="4680"/>
          </w:tcPr>
          <w:p>
            <w:pPr>
              <w:spacing w:line="240" w:lineRule="auto"/>
            </w:pPr>
            <w:r/>
            <w:r>
              <w:rPr>
                <w:rFonts w:ascii="Times New Roman" w:hAnsi="Times New Roman"/>
                <w:b/>
                <w:i w:val="0"/>
                <w:sz w:val="24"/>
              </w:rPr>
              <w:t>$2,100.00</w:t>
            </w:r>
          </w:p>
        </w:tc>
      </w:tr>
      <w:tr>
        <w:tc>
          <w:tcPr>
            <w:tcW w:type="dxa" w:w="4680"/>
          </w:tcPr>
          <w:p>
            <w:pPr>
              <w:spacing w:line="240" w:lineRule="auto"/>
            </w:pPr>
            <w:r/>
            <w:r>
              <w:rPr>
                <w:rFonts w:ascii="Times New Roman" w:hAnsi="Times New Roman"/>
                <w:b/>
                <w:i w:val="0"/>
                <w:sz w:val="24"/>
              </w:rPr>
              <w:t>TOTAL</w:t>
            </w:r>
          </w:p>
        </w:tc>
        <w:tc>
          <w:tcPr>
            <w:tcW w:type="dxa" w:w="4680"/>
          </w:tcPr>
          <w:p>
            <w:pPr>
              <w:spacing w:line="240" w:lineRule="auto"/>
            </w:pPr>
            <w:r/>
            <w:r>
              <w:rPr>
                <w:rFonts w:ascii="Times New Roman" w:hAnsi="Times New Roman"/>
                <w:b/>
                <w:i w:val="0"/>
                <w:sz w:val="24"/>
              </w:rPr>
              <w:t>$8,100.00</w:t>
            </w:r>
          </w:p>
        </w:tc>
      </w:tr>
    </w:tbl>
    <w:p>
      <w:pPr>
        <w:spacing w:line="480" w:lineRule="auto" w:after="0" w:before="0"/>
      </w:pPr>
      <w:r>
        <w:rPr>
          <w:rFonts w:ascii="Times New Roman" w:hAnsi="Times New Roman"/>
          <w:b w:val="0"/>
          <w:i w:val="0"/>
          <w:sz w:val="24"/>
        </w:rPr>
        <w:t>- (iv) Such further sanctions as the Court deems just and appropriate;</w:t>
      </w:r>
    </w:p>
    <w:p>
      <w:pPr>
        <w:pStyle w:val="Heading3"/>
      </w:pPr>
      <w:r>
        <w:rPr>
          <w:rFonts w:ascii="Times New Roman" w:hAnsi="Times New Roman"/>
        </w:rPr>
        <w:t>VI-A. PREEMPTIVE RESPONSE TO ANTICIPATED COUNTERARGUMENTS</w:t>
      </w:r>
    </w:p>
    <w:p>
      <w:pPr>
        <w:spacing w:line="480" w:lineRule="auto" w:after="0" w:before="0"/>
      </w:pPr>
      <w:r>
        <w:rPr>
          <w:rFonts w:ascii="Times New Roman" w:hAnsi="Times New Roman"/>
          <w:b/>
          <w:i w:val="0"/>
          <w:sz w:val="24"/>
        </w:rPr>
        <w:t>1. "The Filings Were Made in Good Faith"</w:t>
      </w:r>
    </w:p>
    <w:p>
      <w:pPr>
        <w:spacing w:line="480" w:lineRule="auto" w:after="0" w:before="0"/>
      </w:pPr>
      <w:r>
        <w:rPr>
          <w:rFonts w:ascii="Times New Roman" w:hAnsi="Times New Roman"/>
          <w:b w:val="0"/>
          <w:i w:val="0"/>
          <w:sz w:val="24"/>
        </w:rPr>
        <w:t xml:space="preserve">Rebuttal: Good faith requires "reasonable inquiry" under MCR 2.114(B)(2). Seven police investigations — all finding no evidence — constitute readily available evidence that a reasonable inquiry would have uncovered. Filing the </w:t>
      </w:r>
      <w:r>
        <w:rPr>
          <w:rFonts w:ascii="Times New Roman" w:hAnsi="Times New Roman"/>
          <w:b w:val="0"/>
          <w:i/>
          <w:sz w:val="24"/>
        </w:rPr>
        <w:t>same</w:t>
      </w:r>
      <w:r>
        <w:rPr>
          <w:rFonts w:ascii="Times New Roman" w:hAnsi="Times New Roman"/>
          <w:b w:val="0"/>
          <w:i w:val="0"/>
          <w:sz w:val="24"/>
        </w:rPr>
        <w:t xml:space="preserve"> disproven allegations repeatedly is not good faith; it is sanctionable persistence. </w:t>
      </w:r>
      <w:r>
        <w:rPr>
          <w:rFonts w:ascii="Times New Roman" w:hAnsi="Times New Roman"/>
          <w:b w:val="0"/>
          <w:i/>
          <w:sz w:val="24"/>
        </w:rPr>
        <w:t>See FMB-First Mich Bank v. Bailey</w:t>
      </w:r>
      <w:r>
        <w:rPr>
          <w:rFonts w:ascii="Times New Roman" w:hAnsi="Times New Roman"/>
          <w:b w:val="0"/>
          <w:i w:val="0"/>
          <w:sz w:val="24"/>
        </w:rPr>
        <w:t>, 232 Mich App 711, 723 (1998) (sanctions appropriate where attorney failed to conduct reasonable inquiry).</w:t>
      </w:r>
    </w:p>
    <w:p>
      <w:pPr>
        <w:spacing w:line="480" w:lineRule="auto" w:after="0" w:before="0"/>
      </w:pPr>
      <w:r>
        <w:rPr>
          <w:rFonts w:ascii="Times New Roman" w:hAnsi="Times New Roman"/>
          <w:b/>
          <w:i w:val="0"/>
          <w:sz w:val="24"/>
        </w:rPr>
        <w:t>2. "Mother Has a Right to Seek Court Protection"</w:t>
      </w:r>
    </w:p>
    <w:p>
      <w:pPr>
        <w:spacing w:line="480" w:lineRule="auto" w:after="0" w:before="0"/>
      </w:pPr>
      <w:r>
        <w:rPr>
          <w:rFonts w:ascii="Times New Roman" w:hAnsi="Times New Roman"/>
          <w:b w:val="0"/>
          <w:i w:val="0"/>
          <w:sz w:val="24"/>
        </w:rPr>
        <w:t xml:space="preserve">Rebuttal: The right to petition does not extend to knowingly false filings. MCR 2.114(D) specifically prohibits filings "interposed for any improper purpose, such as to harass." Albert Watson's admission — "they want this incident documented so Emily can go tomorrow to get an Ex Parte order" — proves the filings were instruments of a custody strategy, not legitimate safety concerns. </w:t>
      </w:r>
      <w:r>
        <w:rPr>
          <w:rFonts w:ascii="Times New Roman" w:hAnsi="Times New Roman"/>
          <w:b w:val="0"/>
          <w:i/>
          <w:sz w:val="24"/>
        </w:rPr>
        <w:t>See Cvengros v Farm Bureau Ins. Co.</w:t>
      </w:r>
      <w:r>
        <w:rPr>
          <w:rFonts w:ascii="Times New Roman" w:hAnsi="Times New Roman"/>
          <w:b w:val="0"/>
          <w:i w:val="0"/>
          <w:sz w:val="24"/>
        </w:rPr>
        <w:t>, 216 Mich App 261, 266 (1996) (sanctions warranted where claims lack factual basis).</w:t>
      </w:r>
    </w:p>
    <w:p>
      <w:pPr>
        <w:spacing w:line="480" w:lineRule="auto" w:after="0" w:before="0"/>
      </w:pPr>
      <w:r>
        <w:rPr>
          <w:rFonts w:ascii="Times New Roman" w:hAnsi="Times New Roman"/>
          <w:b/>
          <w:i w:val="0"/>
          <w:sz w:val="24"/>
        </w:rPr>
        <w:t>3. "Pro Se Father Cannot Recover Attorney Fees"</w:t>
      </w:r>
    </w:p>
    <w:p>
      <w:pPr>
        <w:spacing w:line="480" w:lineRule="auto" w:after="0" w:before="0"/>
      </w:pPr>
      <w:r>
        <w:rPr>
          <w:rFonts w:ascii="Times New Roman" w:hAnsi="Times New Roman"/>
          <w:b w:val="0"/>
          <w:i w:val="0"/>
          <w:sz w:val="24"/>
        </w:rPr>
        <w:t xml:space="preserve">Rebuttal: MCR 2.114(E) awards "reasonable expenses" — not limited to attorney fees. Pro se litigants may recover reasonable costs and expenses. </w:t>
      </w:r>
      <w:r>
        <w:rPr>
          <w:rFonts w:ascii="Times New Roman" w:hAnsi="Times New Roman"/>
          <w:b w:val="0"/>
          <w:i/>
          <w:sz w:val="24"/>
        </w:rPr>
        <w:t>See Kay v Ehrler</w:t>
      </w:r>
      <w:r>
        <w:rPr>
          <w:rFonts w:ascii="Times New Roman" w:hAnsi="Times New Roman"/>
          <w:b w:val="0"/>
          <w:i w:val="0"/>
          <w:sz w:val="24"/>
        </w:rPr>
        <w:t>, 499 U.S. 432, 435 (1991) (discussing costs vs. fees distinction). Additionally, MCL 600.5701 permits recovery of "costs and fees" to any prevailing party against frivolous filings.</w:t>
      </w:r>
    </w:p>
    <w:p>
      <w:pPr>
        <w:spacing w:line="480" w:lineRule="auto" w:after="0" w:before="0"/>
      </w:pPr>
      <w:r>
        <w:rPr>
          <w:rFonts w:ascii="Times New Roman" w:hAnsi="Times New Roman"/>
          <w:b/>
          <w:sz w:val="24"/>
        </w:rPr>
        <w:t xml:space="preserve">41. </w:t>
      </w:r>
      <w:r>
        <w:rPr>
          <w:rFonts w:ascii="Times New Roman" w:hAnsi="Times New Roman"/>
          <w:b/>
          <w:i w:val="0"/>
          <w:sz w:val="24"/>
        </w:rPr>
        <w:t>(d)</w:t>
      </w:r>
      <w:r>
        <w:rPr>
          <w:rFonts w:ascii="Times New Roman" w:hAnsi="Times New Roman"/>
          <w:b w:val="0"/>
          <w:i w:val="0"/>
          <w:sz w:val="24"/>
        </w:rPr>
        <w:t xml:space="preserve"> Tax costs against Defendant pursuant to MCR 2.625;</w:t>
      </w:r>
    </w:p>
    <w:p>
      <w:pPr>
        <w:spacing w:line="480" w:lineRule="auto" w:after="0" w:before="0"/>
      </w:pPr>
      <w:r>
        <w:rPr>
          <w:rFonts w:ascii="Times New Roman" w:hAnsi="Times New Roman"/>
          <w:b/>
          <w:sz w:val="24"/>
        </w:rPr>
        <w:t xml:space="preserve">42. </w:t>
      </w:r>
      <w:r>
        <w:rPr>
          <w:rFonts w:ascii="Times New Roman" w:hAnsi="Times New Roman"/>
          <w:b/>
          <w:i w:val="0"/>
          <w:sz w:val="24"/>
        </w:rPr>
        <w:t>(e)</w:t>
      </w:r>
      <w:r>
        <w:rPr>
          <w:rFonts w:ascii="Times New Roman" w:hAnsi="Times New Roman"/>
          <w:b w:val="0"/>
          <w:i w:val="0"/>
          <w:sz w:val="24"/>
        </w:rPr>
        <w:t xml:space="preserve"> Grant such other and further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J. Pigors, declare under the penalties of perjury that the statements of fact contained in this Motion are true and correct to the best of my knowledge, information, and belief, based upon personal knowledge and review of official law enforcement records.</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PROPOSED ORDER</w:t>
      </w:r>
    </w:p>
    <w:p>
      <w:pPr>
        <w:pStyle w:val="Heading3"/>
      </w:pPr>
      <w:r>
        <w:rPr>
          <w:rFonts w:ascii="Times New Roman" w:hAnsi="Times New Roman"/>
        </w:rPr>
        <w:t>IN THE 14TH CIRCUIT COURT FOR THE COUNTY OF MUSKEGON</w:t>
      </w:r>
    </w:p>
    <w:p>
      <w:pPr>
        <w:pStyle w:val="Heading3"/>
      </w:pPr>
      <w:r>
        <w:rPr>
          <w:rFonts w:ascii="Times New Roman" w:hAnsi="Times New Roman"/>
        </w:rPr>
        <w:t>STATE OF MICHIGAN — FAMILY DIVISION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v. </w:t>
      </w:r>
      <w:r>
        <w:rPr>
          <w:rFonts w:ascii="Times New Roman" w:hAnsi="Times New Roman"/>
          <w:b/>
          <w:i w:val="0"/>
          <w:sz w:val="24"/>
        </w:rPr>
        <w:t>EMILY A. WATSON,</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Case No. 2024-001507-DC / 2023-5907-PP Hon. Jenny L. McNeill</w:t>
      </w:r>
    </w:p>
    <w:p>
      <w:pPr>
        <w:pStyle w:val="Heading3"/>
      </w:pPr>
      <w:r>
        <w:rPr>
          <w:rFonts w:ascii="Times New Roman" w:hAnsi="Times New Roman"/>
        </w:rPr>
        <w:t>ORDER GRANTING MOTION FOR SANCTIONS</w:t>
      </w:r>
    </w:p>
    <w:p>
      <w:pPr>
        <w:spacing w:line="480" w:lineRule="auto" w:after="0" w:before="0"/>
      </w:pPr>
      <w:r>
        <w:rPr>
          <w:rFonts w:ascii="Times New Roman" w:hAnsi="Times New Roman"/>
          <w:b w:val="0"/>
          <w:i w:val="0"/>
          <w:sz w:val="24"/>
        </w:rPr>
        <w:t>The Court having considered Plaintiff's Motion for Sanctions Pursuant to MCR 2.114(D) and (E), the response thereto, if any, and the arguments of the parties, and being otherwise fully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Sanctions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The Court finds that Defendant Emily A. Watson and/or her counsel, Jennifer Barnes, filed pleadings in violation of MCR 2.114(D) by including allegations not well grounded in fact, as contradicted by the findings of the Norton Shores Police Department in seven or more investigations.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pending show-cause motions based on the false allegations of arsenic poisoning, assault, drug use, cocaine involvement, and stalking are hereby </w:t>
      </w:r>
      <w:r>
        <w:rPr>
          <w:rFonts w:ascii="Times New Roman" w:hAnsi="Times New Roman"/>
          <w:b/>
          <w:i w:val="0"/>
          <w:sz w:val="24"/>
        </w:rPr>
        <w:t>STRICKEN</w:t>
      </w:r>
      <w:r>
        <w:rPr>
          <w:rFonts w:ascii="Times New Roman" w:hAnsi="Times New Roman"/>
          <w:b w:val="0"/>
          <w:i w:val="0"/>
          <w:sz w:val="24"/>
        </w:rPr>
        <w: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Defendant is hereby </w:t>
      </w:r>
      <w:r>
        <w:rPr>
          <w:rFonts w:ascii="Times New Roman" w:hAnsi="Times New Roman"/>
          <w:b/>
          <w:i w:val="0"/>
          <w:sz w:val="24"/>
        </w:rPr>
        <w:t>PROHIBITED</w:t>
      </w:r>
      <w:r>
        <w:rPr>
          <w:rFonts w:ascii="Times New Roman" w:hAnsi="Times New Roman"/>
          <w:b w:val="0"/>
          <w:i w:val="0"/>
          <w:sz w:val="24"/>
        </w:rPr>
        <w:t xml:space="preserve"> from filing any further show-cause motions or PPO petitions without first obtaining leave of court upon a preliminary showing of factual basis supported by independent evidence.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Defendant and/or her counsel shall pay to Plaintiff the sum of </w:t>
      </w:r>
      <w:r>
        <w:rPr>
          <w:rFonts w:ascii="Times New Roman" w:hAnsi="Times New Roman"/>
          <w:b/>
          <w:i w:val="0"/>
          <w:sz w:val="24"/>
        </w:rPr>
        <w:t>$8,100.00</w:t>
      </w:r>
      <w:r>
        <w:rPr>
          <w:rFonts w:ascii="Times New Roman" w:hAnsi="Times New Roman"/>
          <w:b w:val="0"/>
          <w:i w:val="0"/>
          <w:sz w:val="24"/>
        </w:rPr>
        <w:t xml:space="preserve"> representing reasonable costs and expenses incurred in responding to the frivolous filings (seven show-cause responses at $5,250.00, filing/service costs at $750.00, and lost wages at $2,100.00), payable within sixty (60) days of the date of this Order.</w:t>
      </w:r>
    </w:p>
    <w:p>
      <w:pPr>
        <w:spacing w:line="480" w:lineRule="auto" w:after="0" w:before="0"/>
      </w:pPr>
      <w:r>
        <w:rPr>
          <w:rFonts w:ascii="Times New Roman" w:hAnsi="Times New Roman"/>
          <w:b/>
          <w:sz w:val="24"/>
        </w:rPr>
        <w:t xml:space="preserve">6. </w:t>
      </w:r>
      <w:r>
        <w:rPr>
          <w:rFonts w:ascii="Times New Roman" w:hAnsi="Times New Roman"/>
          <w:b w:val="0"/>
          <w:i w:val="0"/>
          <w:sz w:val="24"/>
        </w:rPr>
        <w:t>Costs are taxed against Defendant pursuant to MCR 2.625.</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Circuit Court Judge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true and correct copy of the foregoing MOTION FOR SANCTIONS PURSUANT TO MCR 2.114(D) AND (E) AND MCR 2.625, VERIFICATION, PROPOSED ORDER, and all attachments upon:</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c/o Jennifer Barnes, Esq. Barnes Law Firm, PLLC, 880 Jefferson St., Ste. B, Muskegon, MI 49440</w:t>
      </w:r>
    </w:p>
    <w:p>
      <w:pPr>
        <w:spacing w:line="480" w:lineRule="auto" w:after="0" w:before="0"/>
      </w:pPr>
      <w:r>
        <w:rPr>
          <w:rFonts w:ascii="Times New Roman" w:hAnsi="Times New Roman"/>
          <w:b w:val="0"/>
          <w:i w:val="0"/>
          <w:sz w:val="24"/>
        </w:rPr>
        <w:t>via: - [ ] First-class U.S. Mail, postage prepaid - [ ] Personal service - [ ] Electronic filing/service (if available)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1</w:t>
            </w:r>
          </w:p>
        </w:tc>
        <w:tc>
          <w:tcPr>
            <w:tcW w:type="dxa" w:w="4680"/>
          </w:tcPr>
          <w:p>
            <w:pPr>
              <w:spacing w:line="240" w:lineRule="auto"/>
            </w:pPr>
            <w:r/>
            <w:r>
              <w:rPr>
                <w:rFonts w:ascii="Times New Roman" w:hAnsi="Times New Roman"/>
                <w:b w:val="0"/>
                <w:i w:val="0"/>
                <w:sz w:val="24"/>
              </w:rPr>
              <w:t>Norton Shores PD Report — Case NSPD-2023-081 (Officer Fulton, 02/02/2023)</w:t>
            </w:r>
          </w:p>
        </w:tc>
      </w:tr>
      <w:tr>
        <w:tc>
          <w:tcPr>
            <w:tcW w:type="dxa" w:w="4680"/>
          </w:tcPr>
          <w:p>
            <w:pPr>
              <w:spacing w:line="240" w:lineRule="auto"/>
            </w:pPr>
            <w:r/>
            <w:r>
              <w:rPr>
                <w:rFonts w:ascii="Times New Roman" w:hAnsi="Times New Roman"/>
                <w:b/>
                <w:i w:val="0"/>
                <w:sz w:val="24"/>
              </w:rPr>
              <w:t>Exhibit 2</w:t>
            </w:r>
          </w:p>
        </w:tc>
        <w:tc>
          <w:tcPr>
            <w:tcW w:type="dxa" w:w="4680"/>
          </w:tcPr>
          <w:p>
            <w:pPr>
              <w:spacing w:line="240" w:lineRule="auto"/>
            </w:pPr>
            <w:r/>
            <w:r>
              <w:rPr>
                <w:rFonts w:ascii="Times New Roman" w:hAnsi="Times New Roman"/>
                <w:b w:val="0"/>
                <w:i w:val="0"/>
                <w:sz w:val="24"/>
              </w:rPr>
              <w:t>Norton Shores PD Report — Case NSPD-2023-08121 (Officer Ritchie, 12/02/2023)</w:t>
            </w:r>
          </w:p>
        </w:tc>
      </w:tr>
      <w:tr>
        <w:tc>
          <w:tcPr>
            <w:tcW w:type="dxa" w:w="4680"/>
          </w:tcPr>
          <w:p>
            <w:pPr>
              <w:spacing w:line="240" w:lineRule="auto"/>
            </w:pPr>
            <w:r/>
            <w:r>
              <w:rPr>
                <w:rFonts w:ascii="Times New Roman" w:hAnsi="Times New Roman"/>
                <w:b/>
                <w:i w:val="0"/>
                <w:sz w:val="24"/>
              </w:rPr>
              <w:t>Exhibit 3</w:t>
            </w:r>
          </w:p>
        </w:tc>
        <w:tc>
          <w:tcPr>
            <w:tcW w:type="dxa" w:w="4680"/>
          </w:tcPr>
          <w:p>
            <w:pPr>
              <w:spacing w:line="240" w:lineRule="auto"/>
            </w:pPr>
            <w:r/>
            <w:r>
              <w:rPr>
                <w:rFonts w:ascii="Times New Roman" w:hAnsi="Times New Roman"/>
                <w:b w:val="0"/>
                <w:i w:val="0"/>
                <w:sz w:val="24"/>
              </w:rPr>
              <w:t>Norton Shores PD Report — Case NSPD-2023-08179 (Officer Chatman, Amended PPO/LEIN)</w:t>
            </w:r>
          </w:p>
        </w:tc>
      </w:tr>
      <w:tr>
        <w:tc>
          <w:tcPr>
            <w:tcW w:type="dxa" w:w="4680"/>
          </w:tcPr>
          <w:p>
            <w:pPr>
              <w:spacing w:line="240" w:lineRule="auto"/>
            </w:pPr>
            <w:r/>
            <w:r>
              <w:rPr>
                <w:rFonts w:ascii="Times New Roman" w:hAnsi="Times New Roman"/>
                <w:b/>
                <w:i w:val="0"/>
                <w:sz w:val="24"/>
              </w:rPr>
              <w:t>Exhibit 4</w:t>
            </w:r>
          </w:p>
        </w:tc>
        <w:tc>
          <w:tcPr>
            <w:tcW w:type="dxa" w:w="4680"/>
          </w:tcPr>
          <w:p>
            <w:pPr>
              <w:spacing w:line="240" w:lineRule="auto"/>
            </w:pPr>
            <w:r/>
            <w:r>
              <w:rPr>
                <w:rFonts w:ascii="Times New Roman" w:hAnsi="Times New Roman"/>
                <w:b w:val="0"/>
                <w:i w:val="0"/>
                <w:sz w:val="24"/>
              </w:rPr>
              <w:t>Additional Norton Shores PD Reports (4+ additional investigations finding no violation)</w:t>
            </w:r>
          </w:p>
        </w:tc>
      </w:tr>
      <w:tr>
        <w:tc>
          <w:tcPr>
            <w:tcW w:type="dxa" w:w="4680"/>
          </w:tcPr>
          <w:p>
            <w:pPr>
              <w:spacing w:line="240" w:lineRule="auto"/>
            </w:pPr>
            <w:r/>
            <w:r>
              <w:rPr>
                <w:rFonts w:ascii="Times New Roman" w:hAnsi="Times New Roman"/>
                <w:b/>
                <w:i w:val="0"/>
                <w:sz w:val="24"/>
              </w:rPr>
              <w:t>Exhibit 5</w:t>
            </w:r>
          </w:p>
        </w:tc>
        <w:tc>
          <w:tcPr>
            <w:tcW w:type="dxa" w:w="4680"/>
          </w:tcPr>
          <w:p>
            <w:pPr>
              <w:spacing w:line="240" w:lineRule="auto"/>
            </w:pPr>
            <w:r/>
            <w:r>
              <w:rPr>
                <w:rFonts w:ascii="Times New Roman" w:hAnsi="Times New Roman"/>
                <w:b w:val="0"/>
                <w:i w:val="0"/>
                <w:sz w:val="24"/>
              </w:rPr>
              <w:t>Show Cause Motion #7 (filed Oct 27, 2025 — 2 days before Oct 29 hearing)</w:t>
            </w:r>
          </w:p>
        </w:tc>
      </w:tr>
      <w:tr>
        <w:tc>
          <w:tcPr>
            <w:tcW w:type="dxa" w:w="4680"/>
          </w:tcPr>
          <w:p>
            <w:pPr>
              <w:spacing w:line="240" w:lineRule="auto"/>
            </w:pPr>
            <w:r/>
            <w:r>
              <w:rPr>
                <w:rFonts w:ascii="Times New Roman" w:hAnsi="Times New Roman"/>
                <w:b/>
                <w:i w:val="0"/>
                <w:sz w:val="24"/>
              </w:rPr>
              <w:t>Exhibit 6</w:t>
            </w:r>
          </w:p>
        </w:tc>
        <w:tc>
          <w:tcPr>
            <w:tcW w:type="dxa" w:w="4680"/>
          </w:tcPr>
          <w:p>
            <w:pPr>
              <w:spacing w:line="240" w:lineRule="auto"/>
            </w:pPr>
            <w:r/>
            <w:r>
              <w:rPr>
                <w:rFonts w:ascii="Times New Roman" w:hAnsi="Times New Roman"/>
                <w:b w:val="0"/>
                <w:i w:val="0"/>
                <w:sz w:val="24"/>
              </w:rPr>
              <w:t>Timeline showing custody reduction: 50/50 → 79 overnights → 0 overnights</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i w:val="0"/>
                <w:sz w:val="24"/>
              </w:rPr>
              <w:t>Exhibit 7</w:t>
            </w:r>
          </w:p>
        </w:tc>
        <w:tc>
          <w:tcPr>
            <w:tcW w:type="dxa" w:w="3120"/>
          </w:tcPr>
          <w:p>
            <w:pPr>
              <w:spacing w:line="240" w:lineRule="auto"/>
            </w:pPr>
            <w:r/>
            <w:r>
              <w:rPr>
                <w:rFonts w:ascii="Times New Roman" w:hAnsi="Times New Roman"/>
                <w:b w:val="0"/>
                <w:i w:val="0"/>
                <w:sz w:val="24"/>
              </w:rPr>
              <w:t>Docket entries showing pattern of filings timed to custody proceedings</w:t>
            </w:r>
          </w:p>
        </w:tc>
        <w:tc>
          <w:tcPr>
            <w:tcW w:type="dxa" w:w="3120"/>
          </w:tcPr>
          <w:p/>
        </w:tc>
      </w:tr>
    </w:tbl>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