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 FAMILY DIVISION</w:t>
      </w:r>
    </w:p>
    <w:p>
      <w:pPr>
        <w:spacing w:line="240" w:lineRule="auto" w:after="0" w:before="0"/>
      </w:pPr>
      <w:r>
        <w:rPr>
          <w:rFonts w:ascii="Times New Roman" w:hAnsi="Times New Roman"/>
          <w:b w:val="0"/>
          <w:i w:val="0"/>
          <w:sz w:val="24"/>
        </w:rPr>
        <w:t>#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Plaintiff,</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pPr>
        <w:spacing w:line="480" w:lineRule="auto" w:after="0" w:before="0"/>
      </w:pPr>
      <w:r>
        <w:rPr>
          <w:rFonts w:ascii="Times New Roman" w:hAnsi="Times New Roman"/>
          <w:b/>
          <w:i w:val="0"/>
          <w:sz w:val="24"/>
        </w:rPr>
        <w:t>_______________________________/</w:t>
      </w:r>
    </w:p>
    <w:p>
      <w:r>
        <w:br w:type="page"/>
      </w:r>
    </w:p>
    <w:p>
      <w:pPr>
        <w:spacing w:line="480" w:lineRule="auto" w:after="240" w:before="0"/>
        <w:jc w:val="center"/>
      </w:pPr>
      <w:r>
        <w:rPr>
          <w:rFonts w:ascii="Times New Roman" w:hAnsi="Times New Roman"/>
          <w:b/>
          <w:i w:val="0"/>
          <w:sz w:val="24"/>
        </w:rPr>
        <w:t>EMERGENCY MOTION FOR TEMPORARY CUSTODY</w:t>
      </w:r>
    </w:p>
    <w:p>
      <w:pPr>
        <w:spacing w:line="480" w:lineRule="auto" w:after="240" w:before="0"/>
        <w:jc w:val="center"/>
      </w:pPr>
      <w:r>
        <w:rPr>
          <w:rFonts w:ascii="Times New Roman" w:hAnsi="Times New Roman"/>
          <w:b/>
          <w:i w:val="0"/>
          <w:sz w:val="24"/>
        </w:rPr>
        <w:t>UNDER UCCJEA EMERGENCY JURISDICTION (MCL 722.1203)</w:t>
      </w:r>
    </w:p>
    <w:p>
      <w:r>
        <w:br w:type="page"/>
      </w:r>
    </w:p>
    <w:p>
      <w:pPr>
        <w:spacing w:line="480" w:lineRule="auto" w:after="0" w:before="0"/>
      </w:pPr>
      <w:r>
        <w:rPr>
          <w:rFonts w:ascii="Times New Roman" w:hAnsi="Times New Roman"/>
          <w:b/>
          <w:i w:val="0"/>
          <w:sz w:val="24"/>
        </w:rPr>
        <w:t>Hearing Requested:</w:t>
      </w:r>
      <w:r>
        <w:rPr>
          <w:rFonts w:ascii="Times New Roman" w:hAnsi="Times New Roman"/>
          <w:b w:val="0"/>
          <w:i w:val="0"/>
          <w:sz w:val="24"/>
        </w:rPr>
        <w:t xml:space="preserve"> ☐ IMMEDIATE / Ex Parte ☐ Shortened Time </w:t>
      </w:r>
      <w:r>
        <w:rPr>
          <w:rFonts w:ascii="Times New Roman" w:hAnsi="Times New Roman"/>
          <w:b/>
          <w:i w:val="0"/>
          <w:sz w:val="24"/>
        </w:rPr>
        <w:t>MCR 2.119(F) Notice:</w:t>
      </w:r>
      <w:r>
        <w:rPr>
          <w:rFonts w:ascii="Times New Roman" w:hAnsi="Times New Roman"/>
          <w:b w:val="0"/>
          <w:i w:val="0"/>
          <w:sz w:val="24"/>
        </w:rPr>
        <w:t xml:space="preserve"> A hearing on this Motion is requested. Movant requests the Court Clerk schedule this Motion for hearing and provide notice to all parties per MCR 2.119.</w:t>
      </w:r>
    </w:p>
    <w:p>
      <w:r>
        <w:br w:type="page"/>
      </w:r>
    </w:p>
    <w:p>
      <w:pPr>
        <w:pStyle w:val="Heading2"/>
      </w:pPr>
      <w:r>
        <w:rPr>
          <w:rFonts w:ascii="Times New Roman" w:hAnsi="Times New Roman"/>
        </w:rPr>
        <w:t>CERTIFICATE OF COMPLIANCE — MCR 2.119(A)(2)</w:t>
      </w:r>
    </w:p>
    <w:p>
      <w:pPr>
        <w:spacing w:line="480" w:lineRule="auto" w:after="0" w:before="0"/>
      </w:pPr>
      <w:r>
        <w:rPr>
          <w:rFonts w:ascii="Times New Roman" w:hAnsi="Times New Roman"/>
          <w:b w:val="0"/>
          <w:i w:val="0"/>
          <w:sz w:val="24"/>
        </w:rPr>
        <w:t>This motion complies with the requirements of MCR 2.119. A brief in support is filed concurrently. This motion contains fewer than 20 pages exclusive of exhibits, attachments, and the proposed order.</w:t>
      </w:r>
    </w:p>
    <w:p>
      <w:pPr>
        <w:pStyle w:val="Heading2"/>
      </w:pPr>
      <w:r>
        <w:rPr>
          <w:rFonts w:ascii="Times New Roman" w:hAnsi="Times New Roman"/>
        </w:rPr>
        <w:t>UCCJEA COMPLIANCE — MCL 722.1205</w:t>
      </w:r>
    </w:p>
    <w:p>
      <w:pPr>
        <w:spacing w:line="480" w:lineRule="auto" w:after="0" w:before="0"/>
      </w:pPr>
      <w:r>
        <w:rPr>
          <w:rFonts w:ascii="Times New Roman" w:hAnsi="Times New Roman"/>
          <w:b w:val="0"/>
          <w:i w:val="0"/>
          <w:sz w:val="24"/>
        </w:rPr>
        <w:t>A UCCJEA Affidavit (SCAO Form FOC 416) is filed contemporaneously herewith, or is on file with this Court from prior proceedings, providing all information required under MCL 722.1205 regarding the child's prior custody proceedings, residences, and persons with physical custody.</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 Andrew J. Pigors, appearing </w:t>
      </w:r>
      <w:r>
        <w:rPr>
          <w:rFonts w:ascii="Times New Roman" w:hAnsi="Times New Roman"/>
          <w:b w:val="0"/>
          <w:i/>
          <w:sz w:val="24"/>
        </w:rPr>
        <w:t>pro se</w:t>
      </w:r>
      <w:r>
        <w:rPr>
          <w:rFonts w:ascii="Times New Roman" w:hAnsi="Times New Roman"/>
          <w:b w:val="0"/>
          <w:i w:val="0"/>
          <w:sz w:val="24"/>
        </w:rPr>
        <w:t xml:space="preserve">, and respectfully moves this Honorable Court, pursuant to </w:t>
      </w:r>
      <w:r>
        <w:rPr>
          <w:rFonts w:ascii="Times New Roman" w:hAnsi="Times New Roman"/>
          <w:b/>
          <w:i w:val="0"/>
          <w:sz w:val="24"/>
        </w:rPr>
        <w:t>MCL 722.1203</w:t>
      </w:r>
      <w:r>
        <w:rPr>
          <w:rFonts w:ascii="Times New Roman" w:hAnsi="Times New Roman"/>
          <w:b w:val="0"/>
          <w:i w:val="0"/>
          <w:sz w:val="24"/>
        </w:rPr>
        <w:t xml:space="preserve"> (UCCJEA Emergency Jurisdiction), </w:t>
      </w:r>
      <w:r>
        <w:rPr>
          <w:rFonts w:ascii="Times New Roman" w:hAnsi="Times New Roman"/>
          <w:b/>
          <w:i w:val="0"/>
          <w:sz w:val="24"/>
        </w:rPr>
        <w:t>MCR 3.207(C)</w:t>
      </w:r>
      <w:r>
        <w:rPr>
          <w:rFonts w:ascii="Times New Roman" w:hAnsi="Times New Roman"/>
          <w:b w:val="0"/>
          <w:i w:val="0"/>
          <w:sz w:val="24"/>
        </w:rPr>
        <w:t xml:space="preserve">, and </w:t>
      </w:r>
      <w:r>
        <w:rPr>
          <w:rFonts w:ascii="Times New Roman" w:hAnsi="Times New Roman"/>
          <w:b/>
          <w:i w:val="0"/>
          <w:sz w:val="24"/>
        </w:rPr>
        <w:t>MCL 722.27a</w:t>
      </w:r>
      <w:r>
        <w:rPr>
          <w:rFonts w:ascii="Times New Roman" w:hAnsi="Times New Roman"/>
          <w:b w:val="0"/>
          <w:i w:val="0"/>
          <w:sz w:val="24"/>
        </w:rPr>
        <w:t>, for an Emergency Order granting Plaintiff temporary sole physical custody of the minor child, L.D.W. (DOB: November 9, 2022), based on the emergency circumstances described herein, and in support thereof states as follows:</w:t>
      </w:r>
    </w:p>
    <w:p>
      <w:r>
        <w:br w:type="page"/>
      </w:r>
    </w:p>
    <w:p>
      <w:pPr>
        <w:pStyle w:val="Heading2"/>
      </w:pPr>
      <w:r>
        <w:rPr>
          <w:rFonts w:ascii="Times New Roman" w:hAnsi="Times New Roman"/>
        </w:rPr>
        <w:t>I. STATUTORY BASIS — MCL 722.1203 (UCCJEA EMERGENCY JURISDICTION)</w:t>
      </w:r>
    </w:p>
    <w:p>
      <w:pPr>
        <w:spacing w:line="480" w:lineRule="auto" w:after="0" w:before="0"/>
      </w:pPr>
      <w:r>
        <w:rPr>
          <w:rFonts w:ascii="Times New Roman" w:hAnsi="Times New Roman"/>
          <w:b/>
          <w:sz w:val="24"/>
        </w:rPr>
        <w:t xml:space="preserve">1. </w:t>
      </w:r>
      <w:r>
        <w:rPr>
          <w:rFonts w:ascii="Times New Roman" w:hAnsi="Times New Roman"/>
          <w:b w:val="0"/>
          <w:i w:val="0"/>
          <w:sz w:val="24"/>
        </w:rPr>
        <w:t>MCL 722.1203(1) provides:</w:t>
      </w:r>
    </w:p>
    <w:p>
      <w:pPr>
        <w:spacing w:line="480" w:lineRule="auto" w:after="0" w:before="0"/>
      </w:pPr>
      <w:r>
        <w:rPr>
          <w:rFonts w:ascii="Times New Roman" w:hAnsi="Times New Roman"/>
          <w:b w:val="0"/>
          <w:i w:val="0"/>
          <w:sz w:val="24"/>
        </w:rPr>
        <w:t xml:space="preserve">&gt; *"A court of this state has temporary emergency jurisdiction if the child is present in this state and </w:t>
      </w:r>
      <w:r>
        <w:rPr>
          <w:rFonts w:ascii="Times New Roman" w:hAnsi="Times New Roman"/>
          <w:b/>
          <w:i w:val="0"/>
          <w:sz w:val="24"/>
        </w:rPr>
        <w:t>the child has been subjected to or threatened with mistreatment or abuse</w:t>
      </w:r>
      <w:r>
        <w:rPr>
          <w:rFonts w:ascii="Times New Roman" w:hAnsi="Times New Roman"/>
          <w:b w:val="0"/>
          <w:i w:val="0"/>
          <w:sz w:val="24"/>
        </w:rPr>
        <w:t>, or it is necessary in an emergency to protect the child because the child, or a sibling or parent of the child, is subjected to or threatened with mistreatment or abuse."*</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This emergency jurisdiction is </w:t>
      </w:r>
      <w:r>
        <w:rPr>
          <w:rFonts w:ascii="Times New Roman" w:hAnsi="Times New Roman"/>
          <w:b/>
          <w:i w:val="0"/>
          <w:sz w:val="24"/>
        </w:rPr>
        <w:t>independent of and in addition to</w:t>
      </w:r>
      <w:r>
        <w:rPr>
          <w:rFonts w:ascii="Times New Roman" w:hAnsi="Times New Roman"/>
          <w:b w:val="0"/>
          <w:i w:val="0"/>
          <w:sz w:val="24"/>
        </w:rPr>
        <w:t xml:space="preserve"> the Court's existing home-state jurisdiction under MCL 722.1201. Emergency jurisdiction under MCL 722.1203 authorizes immediate temporary orders to protect a child even where home-state jurisdiction already exists.</w:t>
      </w:r>
    </w:p>
    <w:p>
      <w:pPr>
        <w:spacing w:line="480" w:lineRule="auto" w:after="0" w:before="0"/>
      </w:pPr>
      <w:r>
        <w:rPr>
          <w:rFonts w:ascii="Times New Roman" w:hAnsi="Times New Roman"/>
          <w:b/>
          <w:sz w:val="24"/>
        </w:rPr>
        <w:t xml:space="preserve">3. </w:t>
      </w:r>
      <w:r>
        <w:rPr>
          <w:rFonts w:ascii="Times New Roman" w:hAnsi="Times New Roman"/>
          <w:b w:val="0"/>
          <w:i w:val="0"/>
          <w:sz w:val="24"/>
        </w:rPr>
        <w:t>The minor child L.D.W. satisfies both statutory prongs of MCL 722.1203(1):</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L.D.W. is present in Michigan.</w:t>
      </w:r>
      <w:r>
        <w:rPr>
          <w:rFonts w:ascii="Times New Roman" w:hAnsi="Times New Roman"/>
          <w:b w:val="0"/>
          <w:i w:val="0"/>
          <w:sz w:val="24"/>
        </w:rPr>
        <w:t xml:space="preserve"> L.D.W. has been a Michigan resident since birth and currently resides at 2160 Garland Drive, Norton Shores, Muskegon County, Michigan.</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L.D.W. has been subjected to mistreatment or abuse, and emergency protection is necessary.</w:t>
      </w:r>
      <w:r>
        <w:rPr>
          <w:rFonts w:ascii="Times New Roman" w:hAnsi="Times New Roman"/>
          <w:b w:val="0"/>
          <w:i w:val="0"/>
          <w:sz w:val="24"/>
        </w:rPr>
        <w:t xml:space="preserve"> The evidence supporting this finding is set forth in Section II below.</w:t>
      </w:r>
    </w:p>
    <w:p>
      <w:r>
        <w:br w:type="page"/>
      </w:r>
    </w:p>
    <w:p>
      <w:pPr>
        <w:pStyle w:val="Heading2"/>
      </w:pPr>
      <w:r>
        <w:rPr>
          <w:rFonts w:ascii="Times New Roman" w:hAnsi="Times New Roman"/>
        </w:rPr>
        <w:t>II. FACTS ESTABLISHING EMERGENCY — CHILD MISTREATMENT AND ABUSE</w:t>
      </w:r>
    </w:p>
    <w:p>
      <w:pPr>
        <w:pStyle w:val="Heading3"/>
      </w:pPr>
      <w:r>
        <w:rPr>
          <w:rFonts w:ascii="Times New Roman" w:hAnsi="Times New Roman"/>
        </w:rPr>
        <w:t>A. Systematic Parental Alienation Constituting Psychological Abuse</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Analysis of </w:t>
      </w:r>
      <w:r>
        <w:rPr>
          <w:rFonts w:ascii="Times New Roman" w:hAnsi="Times New Roman"/>
          <w:b/>
          <w:i w:val="0"/>
          <w:sz w:val="24"/>
        </w:rPr>
        <w:t>225+ evidence files</w:t>
      </w:r>
      <w:r>
        <w:rPr>
          <w:rFonts w:ascii="Times New Roman" w:hAnsi="Times New Roman"/>
          <w:b w:val="0"/>
          <w:i w:val="0"/>
          <w:sz w:val="24"/>
        </w:rPr>
        <w:t xml:space="preserve"> across this case has identified </w:t>
      </w:r>
      <w:r>
        <w:rPr>
          <w:rFonts w:ascii="Times New Roman" w:hAnsi="Times New Roman"/>
          <w:b/>
          <w:i w:val="0"/>
          <w:sz w:val="24"/>
        </w:rPr>
        <w:t>540 total findings of alienation</w:t>
      </w:r>
      <w:r>
        <w:rPr>
          <w:rFonts w:ascii="Times New Roman" w:hAnsi="Times New Roman"/>
          <w:b w:val="0"/>
          <w:i w:val="0"/>
          <w:sz w:val="24"/>
        </w:rPr>
        <w:t>, including:</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126 documented instances of gatekeeping behavior</w:t>
      </w:r>
      <w:r>
        <w:rPr>
          <w:rFonts w:ascii="Times New Roman" w:hAnsi="Times New Roman"/>
          <w:b w:val="0"/>
          <w:i w:val="0"/>
          <w:sz w:val="24"/>
        </w:rPr>
        <w:t xml:space="preserve"> by Defendant-Mother; - </w:t>
      </w:r>
      <w:r>
        <w:rPr>
          <w:rFonts w:ascii="Times New Roman" w:hAnsi="Times New Roman"/>
          <w:b/>
          <w:i w:val="0"/>
          <w:sz w:val="24"/>
        </w:rPr>
        <w:t>96 alienation indicators</w:t>
      </w:r>
      <w:r>
        <w:rPr>
          <w:rFonts w:ascii="Times New Roman" w:hAnsi="Times New Roman"/>
          <w:b w:val="0"/>
          <w:i w:val="0"/>
          <w:sz w:val="24"/>
        </w:rPr>
        <w:t xml:space="preserve"> demonstrating systematic destruction of the father-child bond; - </w:t>
      </w:r>
      <w:r>
        <w:rPr>
          <w:rFonts w:ascii="Times New Roman" w:hAnsi="Times New Roman"/>
          <w:b/>
          <w:i w:val="0"/>
          <w:sz w:val="24"/>
        </w:rPr>
        <w:t>66 manipulation findings</w:t>
      </w:r>
      <w:r>
        <w:rPr>
          <w:rFonts w:ascii="Times New Roman" w:hAnsi="Times New Roman"/>
          <w:b w:val="0"/>
          <w:i w:val="0"/>
          <w:sz w:val="24"/>
        </w:rPr>
        <w:t xml:space="preserve"> documenting the Watson family's coordinated campaign; - </w:t>
      </w:r>
      <w:r>
        <w:rPr>
          <w:rFonts w:ascii="Times New Roman" w:hAnsi="Times New Roman"/>
          <w:b/>
          <w:i w:val="0"/>
          <w:sz w:val="24"/>
        </w:rPr>
        <w:t>158 documented instances of interference with parenting time</w:t>
      </w:r>
      <w:r>
        <w:rPr>
          <w:rFonts w:ascii="Times New Roman" w:hAnsi="Times New Roman"/>
          <w:b w:val="0"/>
          <w:i w:val="0"/>
          <w:sz w:val="24"/>
        </w:rPr>
        <w:t xml:space="preserve">; - </w:t>
      </w:r>
      <w:r>
        <w:rPr>
          <w:rFonts w:ascii="Times New Roman" w:hAnsi="Times New Roman"/>
          <w:b/>
          <w:i w:val="0"/>
          <w:sz w:val="24"/>
        </w:rPr>
        <w:t>27+ documented occasions of parenting time withholding</w:t>
      </w:r>
      <w:r>
        <w:rPr>
          <w:rFonts w:ascii="Times New Roman" w:hAnsi="Times New Roman"/>
          <w:b w:val="0"/>
          <w:i w:val="0"/>
          <w:sz w:val="24"/>
        </w:rPr>
        <w:t xml:space="preserve"> totaling </w:t>
      </w:r>
      <w:r>
        <w:rPr>
          <w:rFonts w:ascii="Times New Roman" w:hAnsi="Times New Roman"/>
          <w:b/>
          <w:i w:val="0"/>
          <w:sz w:val="24"/>
        </w:rPr>
        <w:t>445+ days</w:t>
      </w:r>
      <w:r>
        <w:rPr>
          <w:rFonts w:ascii="Times New Roman" w:hAnsi="Times New Roman"/>
          <w:b w:val="0"/>
          <w:i w:val="0"/>
          <w:sz w:val="24"/>
        </w:rPr>
        <w:t xml:space="preserve"> of denied father-child contact.</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Parental alienation is recognized as a form of child psychological abuse. </w:t>
      </w:r>
      <w:r>
        <w:rPr>
          <w:rFonts w:ascii="Times New Roman" w:hAnsi="Times New Roman"/>
          <w:b w:val="0"/>
          <w:i/>
          <w:sz w:val="24"/>
        </w:rPr>
        <w:t>See In re Sanders</w:t>
      </w:r>
      <w:r>
        <w:rPr>
          <w:rFonts w:ascii="Times New Roman" w:hAnsi="Times New Roman"/>
          <w:b w:val="0"/>
          <w:i w:val="0"/>
          <w:sz w:val="24"/>
        </w:rPr>
        <w:t xml:space="preserve">, 495 Mich 394 (2010); </w:t>
      </w:r>
      <w:r>
        <w:rPr>
          <w:rFonts w:ascii="Times New Roman" w:hAnsi="Times New Roman"/>
          <w:b w:val="0"/>
          <w:i/>
          <w:sz w:val="24"/>
        </w:rPr>
        <w:t>Pierron v Pierron</w:t>
      </w:r>
      <w:r>
        <w:rPr>
          <w:rFonts w:ascii="Times New Roman" w:hAnsi="Times New Roman"/>
          <w:b w:val="0"/>
          <w:i w:val="0"/>
          <w:sz w:val="24"/>
        </w:rPr>
        <w:t>, 486 Mich 81 (2010). The Michigan Legislature's enactment of MCL 722.23 (willingness to facilitate the parent-child relationship) and MCL 722.23(8) (prohibition against denial of parenting time as punishment) reflects the state's recognition that interference with the parent-child bond constitutes harm to the child.</w:t>
      </w:r>
    </w:p>
    <w:p>
      <w:pPr>
        <w:spacing w:line="480" w:lineRule="auto" w:after="0" w:before="0"/>
      </w:pPr>
      <w:r>
        <w:rPr>
          <w:rFonts w:ascii="Times New Roman" w:hAnsi="Times New Roman"/>
          <w:b/>
          <w:sz w:val="24"/>
        </w:rPr>
        <w:t xml:space="preserve">6. </w:t>
      </w:r>
      <w:r>
        <w:rPr>
          <w:rFonts w:ascii="Times New Roman" w:hAnsi="Times New Roman"/>
          <w:b w:val="0"/>
          <w:i w:val="0"/>
          <w:sz w:val="24"/>
        </w:rPr>
        <w:t>The trajectory of Father's parenting time demonstrates systematic elimination: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Period</w:t>
            </w:r>
          </w:p>
        </w:tc>
        <w:tc>
          <w:tcPr>
            <w:tcW w:type="dxa" w:w="2340"/>
          </w:tcPr>
          <w:p>
            <w:pPr>
              <w:spacing w:line="240" w:lineRule="auto"/>
            </w:pPr>
            <w:r/>
            <w:r>
              <w:rPr>
                <w:rFonts w:ascii="Times New Roman" w:hAnsi="Times New Roman"/>
                <w:b/>
                <w:sz w:val="24"/>
              </w:rPr>
              <w:t>Parenting Time</w:t>
            </w:r>
          </w:p>
        </w:tc>
        <w:tc>
          <w:tcPr>
            <w:tcW w:type="dxa" w:w="2340"/>
          </w:tcPr>
          <w:p>
            <w:pPr>
              <w:spacing w:line="240" w:lineRule="auto"/>
            </w:pPr>
            <w:r/>
            <w:r>
              <w:rPr>
                <w:rFonts w:ascii="Times New Roman" w:hAnsi="Times New Roman"/>
                <w:b/>
                <w:sz w:val="24"/>
              </w:rPr>
              <w:t>Duration</w:t>
            </w:r>
          </w:p>
        </w:tc>
        <w:tc>
          <w:tcPr>
            <w:tcW w:type="dxa" w:w="2340"/>
          </w:tcPr>
          <w:p>
            <w:pPr>
              <w:spacing w:line="240" w:lineRule="auto"/>
            </w:pPr>
            <w:r/>
            <w:r>
              <w:rPr>
                <w:rFonts w:ascii="Times New Roman" w:hAnsi="Times New Roman"/>
                <w:b/>
                <w:sz w:val="24"/>
              </w:rPr>
              <w:t>Mechanism</w:t>
            </w:r>
          </w:p>
        </w:tc>
      </w:tr>
      <w:tr>
        <w:tc>
          <w:tcPr>
            <w:tcW w:type="dxa" w:w="2340"/>
          </w:tcPr>
          <w:p>
            <w:pPr>
              <w:spacing w:line="240" w:lineRule="auto"/>
            </w:pPr>
            <w:r/>
            <w:r>
              <w:rPr>
                <w:rFonts w:ascii="Times New Roman" w:hAnsi="Times New Roman"/>
                <w:b w:val="0"/>
                <w:i w:val="0"/>
                <w:sz w:val="24"/>
              </w:rPr>
              <w:t>Birth – July 2024</w:t>
            </w:r>
          </w:p>
        </w:tc>
        <w:tc>
          <w:tcPr>
            <w:tcW w:type="dxa" w:w="2340"/>
          </w:tcPr>
          <w:p>
            <w:pPr>
              <w:spacing w:line="240" w:lineRule="auto"/>
            </w:pPr>
            <w:r/>
            <w:r>
              <w:rPr>
                <w:rFonts w:ascii="Times New Roman" w:hAnsi="Times New Roman"/>
                <w:b w:val="0"/>
                <w:i w:val="0"/>
                <w:sz w:val="24"/>
              </w:rPr>
              <w:t>50/50 equal custody</w:t>
            </w:r>
          </w:p>
        </w:tc>
        <w:tc>
          <w:tcPr>
            <w:tcW w:type="dxa" w:w="2340"/>
          </w:tcPr>
          <w:p>
            <w:pPr>
              <w:spacing w:line="240" w:lineRule="auto"/>
            </w:pPr>
            <w:r/>
            <w:r>
              <w:rPr>
                <w:rFonts w:ascii="Times New Roman" w:hAnsi="Times New Roman"/>
                <w:b w:val="0"/>
                <w:i w:val="0"/>
                <w:sz w:val="24"/>
              </w:rPr>
              <w:t>~2.75 years</w:t>
            </w:r>
          </w:p>
        </w:tc>
        <w:tc>
          <w:tcPr>
            <w:tcW w:type="dxa" w:w="2340"/>
          </w:tcPr>
          <w:p>
            <w:pPr>
              <w:spacing w:line="240" w:lineRule="auto"/>
            </w:pPr>
            <w:r/>
            <w:r>
              <w:rPr>
                <w:rFonts w:ascii="Times New Roman" w:hAnsi="Times New Roman"/>
                <w:b w:val="0"/>
                <w:i w:val="0"/>
                <w:sz w:val="24"/>
              </w:rPr>
              <w:t>Voluntary/court ordered</w:t>
            </w:r>
          </w:p>
        </w:tc>
      </w:tr>
      <w:tr>
        <w:tc>
          <w:tcPr>
            <w:tcW w:type="dxa" w:w="2340"/>
          </w:tcPr>
          <w:p>
            <w:pPr>
              <w:spacing w:line="240" w:lineRule="auto"/>
            </w:pPr>
            <w:r/>
            <w:r>
              <w:rPr>
                <w:rFonts w:ascii="Times New Roman" w:hAnsi="Times New Roman"/>
                <w:b w:val="0"/>
                <w:i w:val="0"/>
                <w:sz w:val="24"/>
              </w:rPr>
              <w:t>July 17, 2024</w:t>
            </w:r>
          </w:p>
        </w:tc>
        <w:tc>
          <w:tcPr>
            <w:tcW w:type="dxa" w:w="2340"/>
          </w:tcPr>
          <w:p>
            <w:pPr>
              <w:spacing w:line="240" w:lineRule="auto"/>
            </w:pPr>
            <w:r/>
            <w:r>
              <w:rPr>
                <w:rFonts w:ascii="Times New Roman" w:hAnsi="Times New Roman"/>
                <w:b w:val="0"/>
                <w:i w:val="0"/>
                <w:sz w:val="24"/>
              </w:rPr>
              <w:t>79 overnights/year</w:t>
            </w:r>
          </w:p>
        </w:tc>
        <w:tc>
          <w:tcPr>
            <w:tcW w:type="dxa" w:w="2340"/>
          </w:tcPr>
          <w:p>
            <w:pPr>
              <w:spacing w:line="240" w:lineRule="auto"/>
            </w:pPr>
            <w:r/>
            <w:r>
              <w:rPr>
                <w:rFonts w:ascii="Times New Roman" w:hAnsi="Times New Roman"/>
                <w:b w:val="0"/>
                <w:i w:val="0"/>
                <w:sz w:val="24"/>
              </w:rPr>
              <w:t>~13 months</w:t>
            </w:r>
          </w:p>
        </w:tc>
        <w:tc>
          <w:tcPr>
            <w:tcW w:type="dxa" w:w="2340"/>
          </w:tcPr>
          <w:p>
            <w:pPr>
              <w:spacing w:line="240" w:lineRule="auto"/>
            </w:pPr>
            <w:r/>
            <w:r>
              <w:rPr>
                <w:rFonts w:ascii="Times New Roman" w:hAnsi="Times New Roman"/>
                <w:b w:val="0"/>
                <w:i w:val="0"/>
                <w:sz w:val="24"/>
              </w:rPr>
              <w:t>Court order reduction</w:t>
            </w:r>
          </w:p>
        </w:tc>
      </w:tr>
      <w:tr>
        <w:tc>
          <w:tcPr>
            <w:tcW w:type="dxa" w:w="2340"/>
          </w:tcPr>
          <w:p>
            <w:pPr>
              <w:spacing w:line="240" w:lineRule="auto"/>
            </w:pPr>
            <w:r/>
            <w:r>
              <w:rPr>
                <w:rFonts w:ascii="Times New Roman" w:hAnsi="Times New Roman"/>
                <w:b w:val="0"/>
                <w:i w:val="0"/>
                <w:sz w:val="24"/>
              </w:rPr>
              <w:t>August 8, 2025</w:t>
            </w:r>
          </w:p>
        </w:tc>
        <w:tc>
          <w:tcPr>
            <w:tcW w:type="dxa" w:w="2340"/>
          </w:tcPr>
          <w:p>
            <w:pPr>
              <w:spacing w:line="240" w:lineRule="auto"/>
            </w:pPr>
            <w:r/>
            <w:r>
              <w:rPr>
                <w:rFonts w:ascii="Times New Roman" w:hAnsi="Times New Roman"/>
                <w:b/>
                <w:i w:val="0"/>
                <w:sz w:val="24"/>
              </w:rPr>
              <w:t>0% — complete termination</w:t>
            </w:r>
          </w:p>
        </w:tc>
        <w:tc>
          <w:tcPr>
            <w:tcW w:type="dxa" w:w="2340"/>
          </w:tcPr>
          <w:p>
            <w:pPr>
              <w:spacing w:line="240" w:lineRule="auto"/>
            </w:pPr>
            <w:r/>
            <w:r>
              <w:rPr>
                <w:rFonts w:ascii="Times New Roman" w:hAnsi="Times New Roman"/>
                <w:b/>
                <w:i w:val="0"/>
                <w:sz w:val="24"/>
              </w:rPr>
              <w:t>329+ days and counting</w:t>
            </w:r>
          </w:p>
        </w:tc>
        <w:tc>
          <w:tcPr>
            <w:tcW w:type="dxa" w:w="2340"/>
          </w:tcPr>
          <w:p>
            <w:pPr>
              <w:spacing w:line="240" w:lineRule="auto"/>
            </w:pPr>
            <w:r/>
            <w:r>
              <w:rPr>
                <w:rFonts w:ascii="Times New Roman" w:hAnsi="Times New Roman"/>
                <w:b w:val="0"/>
                <w:i w:val="0"/>
                <w:sz w:val="24"/>
              </w:rPr>
              <w:t>Ex parte order, no hearing</w:t>
            </w:r>
          </w:p>
        </w:tc>
      </w:tr>
    </w:tbl>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This constitutes a </w:t>
      </w:r>
      <w:r>
        <w:rPr>
          <w:rFonts w:ascii="Times New Roman" w:hAnsi="Times New Roman"/>
          <w:b/>
          <w:i w:val="0"/>
          <w:sz w:val="24"/>
        </w:rPr>
        <w:t>100% reduction</w:t>
      </w:r>
      <w:r>
        <w:rPr>
          <w:rFonts w:ascii="Times New Roman" w:hAnsi="Times New Roman"/>
          <w:b w:val="0"/>
          <w:i w:val="0"/>
          <w:sz w:val="24"/>
        </w:rPr>
        <w:t xml:space="preserve"> in Father's parenting time — from equal custody to total termination — accomplished entirely through Defendant's false filings and without any evidentiary hearing or best-interest determination under MCL 722.27a.</w:t>
      </w:r>
    </w:p>
    <w:p>
      <w:pPr>
        <w:pStyle w:val="Heading3"/>
      </w:pPr>
      <w:r>
        <w:rPr>
          <w:rFonts w:ascii="Times New Roman" w:hAnsi="Times New Roman"/>
        </w:rPr>
        <w:t>B. Physical Abuse Risk — Cody Watson's Self-Admission</w:t>
      </w:r>
    </w:p>
    <w:p>
      <w:pPr>
        <w:spacing w:line="480" w:lineRule="auto" w:after="0" w:before="0"/>
      </w:pPr>
      <w:r>
        <w:rPr>
          <w:rFonts w:ascii="Times New Roman" w:hAnsi="Times New Roman"/>
          <w:b/>
          <w:sz w:val="24"/>
        </w:rPr>
        <w:t xml:space="preserve">8. </w:t>
      </w:r>
      <w:r>
        <w:rPr>
          <w:rFonts w:ascii="Times New Roman" w:hAnsi="Times New Roman"/>
          <w:b/>
          <w:i w:val="0"/>
          <w:sz w:val="24"/>
        </w:rPr>
        <w:t>Cody Watson</w:t>
      </w:r>
      <w:r>
        <w:rPr>
          <w:rFonts w:ascii="Times New Roman" w:hAnsi="Times New Roman"/>
          <w:b w:val="0"/>
          <w:i w:val="0"/>
          <w:sz w:val="24"/>
        </w:rPr>
        <w:t xml:space="preserve"> (Defendant's brother, maternal uncle of L.D.W.) has made a </w:t>
      </w:r>
      <w:r>
        <w:rPr>
          <w:rFonts w:ascii="Times New Roman" w:hAnsi="Times New Roman"/>
          <w:b/>
          <w:i w:val="0"/>
          <w:sz w:val="24"/>
        </w:rPr>
        <w:t>self-admission of physically disciplining L.D.W.</w:t>
      </w:r>
      <w:r>
        <w:rPr>
          <w:rFonts w:ascii="Times New Roman" w:hAnsi="Times New Roman"/>
          <w:b w:val="0"/>
          <w:i w:val="0"/>
          <w:sz w:val="24"/>
        </w:rPr>
        <w:t xml:space="preserve"> This admission, combined with Cody Watson's </w:t>
      </w:r>
      <w:r>
        <w:rPr>
          <w:rFonts w:ascii="Times New Roman" w:hAnsi="Times New Roman"/>
          <w:b/>
          <w:i w:val="0"/>
          <w:sz w:val="24"/>
        </w:rPr>
        <w:t>NIBRS (National Incident-Based Reporting System) criminal record</w:t>
      </w:r>
      <w:r>
        <w:rPr>
          <w:rFonts w:ascii="Times New Roman" w:hAnsi="Times New Roman"/>
          <w:b w:val="0"/>
          <w:i w:val="0"/>
          <w:sz w:val="24"/>
        </w:rPr>
        <w:t xml:space="preserve"> documenting prior violent conduct, establishes that the minor child is currently residing in a household where a person with a documented history of violence has unsupervised access to the child and has admitted to physically disciplining the child.</w:t>
      </w:r>
    </w:p>
    <w:p>
      <w:pPr>
        <w:spacing w:line="480" w:lineRule="auto" w:after="0" w:before="0"/>
      </w:pPr>
      <w:r>
        <w:rPr>
          <w:rFonts w:ascii="Times New Roman" w:hAnsi="Times New Roman"/>
          <w:b/>
          <w:sz w:val="24"/>
        </w:rPr>
        <w:t xml:space="preserve">9. </w:t>
      </w:r>
      <w:r>
        <w:rPr>
          <w:rFonts w:ascii="Times New Roman" w:hAnsi="Times New Roman"/>
          <w:b w:val="0"/>
          <w:i w:val="0"/>
          <w:sz w:val="24"/>
        </w:rPr>
        <w:t>Under MCL 750.136b (child abuse), a person who knowingly or intentionally causes physical harm to a child is guilty of a criminal offense. Under MCL 722.638, when a parent allows a person with a documented history of violence to have unsupervised access to a child, this may constitute child neglect.</w:t>
      </w:r>
    </w:p>
    <w:p>
      <w:pPr>
        <w:spacing w:line="480" w:lineRule="auto" w:after="0" w:before="0"/>
      </w:pPr>
      <w:r>
        <w:rPr>
          <w:rFonts w:ascii="Times New Roman" w:hAnsi="Times New Roman"/>
          <w:b/>
          <w:sz w:val="24"/>
        </w:rPr>
        <w:t xml:space="preserve">10. </w:t>
      </w:r>
      <w:r>
        <w:rPr>
          <w:rFonts w:ascii="Times New Roman" w:hAnsi="Times New Roman"/>
          <w:b/>
          <w:i w:val="0"/>
          <w:sz w:val="24"/>
        </w:rPr>
        <w:t>No investigation of Cody Watson's conduct toward L.D.W. has been ordered by this Court</w:t>
      </w:r>
      <w:r>
        <w:rPr>
          <w:rFonts w:ascii="Times New Roman" w:hAnsi="Times New Roman"/>
          <w:b w:val="0"/>
          <w:i w:val="0"/>
          <w:sz w:val="24"/>
        </w:rPr>
        <w:t>, despite the self-admission and criminal history being part of the record.</w:t>
      </w:r>
    </w:p>
    <w:p>
      <w:pPr>
        <w:pStyle w:val="Heading3"/>
      </w:pPr>
      <w:r>
        <w:rPr>
          <w:rFonts w:ascii="Times New Roman" w:hAnsi="Times New Roman"/>
        </w:rPr>
        <w:t>C. Manufactured Emergency Resulting in 329+ Days Without Hearing</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The current custody arrangement was obtained through a </w:t>
      </w:r>
      <w:r>
        <w:rPr>
          <w:rFonts w:ascii="Times New Roman" w:hAnsi="Times New Roman"/>
          <w:b/>
          <w:i w:val="0"/>
          <w:sz w:val="24"/>
        </w:rPr>
        <w:t>pre-planned, coordinated false emergency</w:t>
      </w:r>
      <w:r>
        <w:rPr>
          <w:rFonts w:ascii="Times New Roman" w:hAnsi="Times New Roman"/>
          <w:b w:val="0"/>
          <w:i w:val="0"/>
          <w:sz w:val="24"/>
        </w:rPr>
        <w:t xml:space="preserve"> manufactured by the Watson family:</w:t>
      </w:r>
    </w:p>
    <w:p>
      <w:pPr>
        <w:spacing w:line="480" w:lineRule="auto" w:after="0" w:before="0"/>
      </w:pPr>
      <w:r>
        <w:rPr>
          <w:rFonts w:ascii="Times New Roman" w:hAnsi="Times New Roman"/>
          <w:b w:val="0"/>
          <w:i w:val="0"/>
          <w:sz w:val="24"/>
        </w:rPr>
        <w:t xml:space="preserve">a. On </w:t>
      </w:r>
      <w:r>
        <w:rPr>
          <w:rFonts w:ascii="Times New Roman" w:hAnsi="Times New Roman"/>
          <w:b/>
          <w:i w:val="0"/>
          <w:sz w:val="24"/>
        </w:rPr>
        <w:t>August 7, 2025</w:t>
      </w:r>
      <w:r>
        <w:rPr>
          <w:rFonts w:ascii="Times New Roman" w:hAnsi="Times New Roman"/>
          <w:b w:val="0"/>
          <w:i w:val="0"/>
          <w:sz w:val="24"/>
        </w:rPr>
        <w:t xml:space="preserve">, Albert Watson (Defendant's father) called Norton Shores Police (Case No. NS2505044) and </w:t>
      </w:r>
      <w:r>
        <w:rPr>
          <w:rFonts w:ascii="Times New Roman" w:hAnsi="Times New Roman"/>
          <w:b/>
          <w:i w:val="0"/>
          <w:sz w:val="24"/>
        </w:rPr>
        <w:t>explicitly told the officer: "they want this incident documented so Emily can go tomorrow to get an Ex Parte order for full custody of her son."</w:t>
      </w:r>
    </w:p>
    <w:p>
      <w:pPr>
        <w:spacing w:line="480" w:lineRule="auto" w:after="0" w:before="0"/>
      </w:pPr>
      <w:r>
        <w:rPr>
          <w:rFonts w:ascii="Times New Roman" w:hAnsi="Times New Roman"/>
          <w:b w:val="0"/>
          <w:i w:val="0"/>
          <w:sz w:val="24"/>
        </w:rPr>
        <w:t xml:space="preserve">b. On </w:t>
      </w:r>
      <w:r>
        <w:rPr>
          <w:rFonts w:ascii="Times New Roman" w:hAnsi="Times New Roman"/>
          <w:b/>
          <w:i w:val="0"/>
          <w:sz w:val="24"/>
        </w:rPr>
        <w:t>August 8, 2025</w:t>
      </w:r>
      <w:r>
        <w:rPr>
          <w:rFonts w:ascii="Times New Roman" w:hAnsi="Times New Roman"/>
          <w:b w:val="0"/>
          <w:i w:val="0"/>
          <w:sz w:val="24"/>
        </w:rPr>
        <w:t>, Emily Watson filed an "Emergency Ex Parte Motion" — exactly as pre-planned. The motion contained false statements including that Father's behavior was "a result of meth use."</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Five (5) separate ex parte orders</w:t>
      </w:r>
      <w:r>
        <w:rPr>
          <w:rFonts w:ascii="Times New Roman" w:hAnsi="Times New Roman"/>
          <w:b w:val="0"/>
          <w:i w:val="0"/>
          <w:sz w:val="24"/>
        </w:rPr>
        <w:t xml:space="preserve"> were entered on that single day, all without notice to Father, suspending all parenting time.</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329+ consecutive days</w:t>
      </w:r>
      <w:r>
        <w:rPr>
          <w:rFonts w:ascii="Times New Roman" w:hAnsi="Times New Roman"/>
          <w:b w:val="0"/>
          <w:i w:val="0"/>
          <w:sz w:val="24"/>
        </w:rPr>
        <w:t xml:space="preserve"> have passed without an evidentiary hearing as required by MCR 3.207(C)(5).</w:t>
      </w:r>
    </w:p>
    <w:p>
      <w:pPr>
        <w:spacing w:line="480" w:lineRule="auto" w:after="0" w:before="0"/>
      </w:pPr>
      <w:r>
        <w:rPr>
          <w:rFonts w:ascii="Times New Roman" w:hAnsi="Times New Roman"/>
          <w:b/>
          <w:sz w:val="24"/>
        </w:rPr>
        <w:t xml:space="preserve">12. </w:t>
      </w:r>
      <w:r>
        <w:rPr>
          <w:rFonts w:ascii="Times New Roman" w:hAnsi="Times New Roman"/>
          <w:b w:val="0"/>
          <w:i w:val="0"/>
          <w:sz w:val="24"/>
        </w:rPr>
        <w:t xml:space="preserve">The clinical evidence obtained </w:t>
      </w:r>
      <w:r>
        <w:rPr>
          <w:rFonts w:ascii="Times New Roman" w:hAnsi="Times New Roman"/>
          <w:b/>
          <w:i w:val="0"/>
          <w:sz w:val="24"/>
        </w:rPr>
        <w:t>after</w:t>
      </w:r>
      <w:r>
        <w:rPr>
          <w:rFonts w:ascii="Times New Roman" w:hAnsi="Times New Roman"/>
          <w:b w:val="0"/>
          <w:i w:val="0"/>
          <w:sz w:val="24"/>
        </w:rPr>
        <w:t xml:space="preserve"> these orders contradicts every factual predicate:</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Allegation in Ex Parte Motion</w:t>
            </w:r>
          </w:p>
        </w:tc>
        <w:tc>
          <w:tcPr>
            <w:tcW w:type="dxa" w:w="4680"/>
          </w:tcPr>
          <w:p>
            <w:pPr>
              <w:spacing w:line="240" w:lineRule="auto"/>
            </w:pPr>
            <w:r/>
            <w:r>
              <w:rPr>
                <w:rFonts w:ascii="Times New Roman" w:hAnsi="Times New Roman"/>
                <w:b/>
                <w:sz w:val="24"/>
              </w:rPr>
              <w:t>HealthWest Clinical Finding (09/05/2025)</w:t>
            </w:r>
          </w:p>
        </w:tc>
      </w:tr>
      <w:tr>
        <w:tc>
          <w:tcPr>
            <w:tcW w:type="dxa" w:w="4680"/>
          </w:tcPr>
          <w:p>
            <w:pPr>
              <w:spacing w:line="240" w:lineRule="auto"/>
            </w:pPr>
            <w:r/>
            <w:r>
              <w:rPr>
                <w:rFonts w:ascii="Times New Roman" w:hAnsi="Times New Roman"/>
                <w:b w:val="0"/>
                <w:i w:val="0"/>
                <w:sz w:val="24"/>
              </w:rPr>
              <w:t>Behavior "a result of meth use"</w:t>
            </w:r>
          </w:p>
        </w:tc>
        <w:tc>
          <w:tcPr>
            <w:tcW w:type="dxa" w:w="4680"/>
          </w:tcPr>
          <w:p>
            <w:pPr>
              <w:spacing w:line="240" w:lineRule="auto"/>
            </w:pPr>
            <w:r/>
            <w:r>
              <w:rPr>
                <w:rFonts w:ascii="Times New Roman" w:hAnsi="Times New Roman"/>
                <w:b w:val="0"/>
                <w:i w:val="0"/>
                <w:sz w:val="24"/>
              </w:rPr>
              <w:t xml:space="preserve">Substance Use Score = </w:t>
            </w:r>
            <w:r>
              <w:rPr>
                <w:rFonts w:ascii="Times New Roman" w:hAnsi="Times New Roman"/>
                <w:b/>
                <w:i w:val="0"/>
                <w:sz w:val="24"/>
              </w:rPr>
              <w:t>0</w:t>
            </w:r>
            <w:r>
              <w:rPr>
                <w:rFonts w:ascii="Times New Roman" w:hAnsi="Times New Roman"/>
                <w:b w:val="0"/>
                <w:i w:val="0"/>
                <w:sz w:val="24"/>
              </w:rPr>
              <w:t>; "No problems reported"</w:t>
            </w:r>
          </w:p>
        </w:tc>
      </w:tr>
      <w:tr>
        <w:tc>
          <w:tcPr>
            <w:tcW w:type="dxa" w:w="4680"/>
          </w:tcPr>
          <w:p>
            <w:pPr>
              <w:spacing w:line="240" w:lineRule="auto"/>
            </w:pPr>
            <w:r/>
            <w:r>
              <w:rPr>
                <w:rFonts w:ascii="Times New Roman" w:hAnsi="Times New Roman"/>
                <w:b w:val="0"/>
                <w:i w:val="0"/>
                <w:sz w:val="24"/>
              </w:rPr>
              <w:t>Dangerous to child</w:t>
            </w:r>
          </w:p>
        </w:tc>
        <w:tc>
          <w:tcPr>
            <w:tcW w:type="dxa" w:w="4680"/>
          </w:tcPr>
          <w:p>
            <w:pPr>
              <w:spacing w:line="240" w:lineRule="auto"/>
            </w:pPr>
            <w:r/>
            <w:r>
              <w:rPr>
                <w:rFonts w:ascii="Times New Roman" w:hAnsi="Times New Roman"/>
                <w:b w:val="0"/>
                <w:i w:val="0"/>
                <w:sz w:val="24"/>
              </w:rPr>
              <w:t xml:space="preserve">Danger to Self = </w:t>
            </w:r>
            <w:r>
              <w:rPr>
                <w:rFonts w:ascii="Times New Roman" w:hAnsi="Times New Roman"/>
                <w:b/>
                <w:i w:val="0"/>
                <w:sz w:val="24"/>
              </w:rPr>
              <w:t>0</w:t>
            </w:r>
            <w:r>
              <w:rPr>
                <w:rFonts w:ascii="Times New Roman" w:hAnsi="Times New Roman"/>
                <w:b w:val="0"/>
                <w:i w:val="0"/>
                <w:sz w:val="24"/>
              </w:rPr>
              <w:t xml:space="preserve">; Danger to Others = </w:t>
            </w:r>
            <w:r>
              <w:rPr>
                <w:rFonts w:ascii="Times New Roman" w:hAnsi="Times New Roman"/>
                <w:b/>
                <w:i w:val="0"/>
                <w:sz w:val="24"/>
              </w:rPr>
              <w:t>0</w:t>
            </w:r>
          </w:p>
        </w:tc>
      </w:tr>
      <w:tr>
        <w:tc>
          <w:tcPr>
            <w:tcW w:type="dxa" w:w="4680"/>
          </w:tcPr>
          <w:p>
            <w:pPr>
              <w:spacing w:line="240" w:lineRule="auto"/>
            </w:pPr>
            <w:r/>
            <w:r>
              <w:rPr>
                <w:rFonts w:ascii="Times New Roman" w:hAnsi="Times New Roman"/>
                <w:b w:val="0"/>
                <w:i w:val="0"/>
                <w:sz w:val="24"/>
              </w:rPr>
              <w:t>Severe mental illness</w:t>
            </w:r>
          </w:p>
        </w:tc>
        <w:tc>
          <w:tcPr>
            <w:tcW w:type="dxa" w:w="4680"/>
          </w:tcPr>
          <w:p>
            <w:pPr>
              <w:spacing w:line="240" w:lineRule="auto"/>
            </w:pPr>
            <w:r/>
            <w:r>
              <w:rPr>
                <w:rFonts w:ascii="Times New Roman" w:hAnsi="Times New Roman"/>
                <w:b w:val="0"/>
                <w:i w:val="0"/>
                <w:sz w:val="24"/>
              </w:rPr>
              <w:t xml:space="preserve">SMI/SED = </w:t>
            </w:r>
            <w:r>
              <w:rPr>
                <w:rFonts w:ascii="Times New Roman" w:hAnsi="Times New Roman"/>
                <w:b/>
                <w:i w:val="0"/>
                <w:sz w:val="24"/>
              </w:rPr>
              <w:t>"Neither SMI nor SED"</w:t>
            </w:r>
            <w:r>
              <w:rPr>
                <w:rFonts w:ascii="Times New Roman" w:hAnsi="Times New Roman"/>
                <w:b w:val="0"/>
                <w:i w:val="0"/>
                <w:sz w:val="24"/>
              </w:rPr>
              <w:t>; LOCUS = Level One</w:t>
            </w:r>
          </w:p>
        </w:tc>
      </w:tr>
      <w:tr>
        <w:tc>
          <w:tcPr>
            <w:tcW w:type="dxa" w:w="4680"/>
          </w:tcPr>
          <w:p>
            <w:pPr>
              <w:spacing w:line="240" w:lineRule="auto"/>
            </w:pPr>
            <w:r/>
            <w:r>
              <w:rPr>
                <w:rFonts w:ascii="Times New Roman" w:hAnsi="Times New Roman"/>
                <w:b w:val="0"/>
                <w:i w:val="0"/>
                <w:sz w:val="24"/>
              </w:rPr>
              <w:t>Emergency action required</w:t>
            </w:r>
          </w:p>
        </w:tc>
        <w:tc>
          <w:tcPr>
            <w:tcW w:type="dxa" w:w="4680"/>
          </w:tcPr>
          <w:p>
            <w:pPr>
              <w:spacing w:line="240" w:lineRule="auto"/>
            </w:pPr>
            <w:r/>
            <w:r>
              <w:rPr>
                <w:rFonts w:ascii="Times New Roman" w:hAnsi="Times New Roman"/>
                <w:b w:val="0"/>
                <w:i w:val="0"/>
                <w:sz w:val="24"/>
              </w:rPr>
              <w:t xml:space="preserve">Level of Urgency = </w:t>
            </w:r>
            <w:r>
              <w:rPr>
                <w:rFonts w:ascii="Times New Roman" w:hAnsi="Times New Roman"/>
                <w:b/>
                <w:i w:val="0"/>
                <w:sz w:val="24"/>
              </w:rPr>
              <w:t>"Routine"</w:t>
            </w:r>
          </w:p>
        </w:tc>
      </w:tr>
      <w:tr>
        <w:tc>
          <w:tcPr>
            <w:tcW w:type="dxa" w:w="4680"/>
          </w:tcPr>
          <w:p>
            <w:pPr>
              <w:spacing w:line="240" w:lineRule="auto"/>
            </w:pPr>
            <w:r/>
            <w:r>
              <w:rPr>
                <w:rFonts w:ascii="Times New Roman" w:hAnsi="Times New Roman"/>
                <w:b w:val="0"/>
                <w:i w:val="0"/>
                <w:sz w:val="24"/>
              </w:rPr>
              <w:t>Psychotic/delusional behavior</w:t>
            </w:r>
          </w:p>
        </w:tc>
        <w:tc>
          <w:tcPr>
            <w:tcW w:type="dxa" w:w="4680"/>
          </w:tcPr>
          <w:p>
            <w:pPr>
              <w:spacing w:line="240" w:lineRule="auto"/>
            </w:pPr>
            <w:r/>
            <w:r>
              <w:rPr>
                <w:rFonts w:ascii="Times New Roman" w:hAnsi="Times New Roman"/>
                <w:b w:val="0"/>
                <w:i w:val="0"/>
                <w:sz w:val="24"/>
              </w:rPr>
              <w:t xml:space="preserve">Psychosis Score = </w:t>
            </w:r>
            <w:r>
              <w:rPr>
                <w:rFonts w:ascii="Times New Roman" w:hAnsi="Times New Roman"/>
                <w:b/>
                <w:i w:val="0"/>
                <w:sz w:val="24"/>
              </w:rPr>
              <w:t>0</w:t>
            </w:r>
            <w:r>
              <w:rPr>
                <w:rFonts w:ascii="Times New Roman" w:hAnsi="Times New Roman"/>
                <w:b w:val="0"/>
                <w:i w:val="0"/>
                <w:sz w:val="24"/>
              </w:rPr>
              <w:t xml:space="preserve"> (first evaluation)</w:t>
            </w:r>
          </w:p>
        </w:tc>
      </w:tr>
      <w:tr>
        <w:tc>
          <w:tcPr>
            <w:tcW w:type="dxa" w:w="4680"/>
          </w:tcPr>
          <w:p>
            <w:pPr>
              <w:spacing w:line="240" w:lineRule="auto"/>
            </w:pPr>
            <w:r/>
            <w:r>
              <w:rPr>
                <w:rFonts w:ascii="Times New Roman" w:hAnsi="Times New Roman"/>
                <w:b w:val="0"/>
                <w:i w:val="0"/>
                <w:sz w:val="24"/>
              </w:rPr>
              <w:t>Refuses treatment</w:t>
            </w:r>
          </w:p>
        </w:tc>
        <w:tc>
          <w:tcPr>
            <w:tcW w:type="dxa" w:w="4680"/>
          </w:tcPr>
          <w:p>
            <w:pPr>
              <w:spacing w:line="240" w:lineRule="auto"/>
            </w:pPr>
            <w:r/>
            <w:r>
              <w:rPr>
                <w:rFonts w:ascii="Times New Roman" w:hAnsi="Times New Roman"/>
                <w:b w:val="0"/>
                <w:i w:val="0"/>
                <w:sz w:val="24"/>
              </w:rPr>
              <w:t xml:space="preserve">In therapy at Services of Hope since </w:t>
            </w:r>
            <w:r>
              <w:rPr>
                <w:rFonts w:ascii="Times New Roman" w:hAnsi="Times New Roman"/>
                <w:b/>
                <w:i w:val="0"/>
                <w:sz w:val="24"/>
              </w:rPr>
              <w:t>2012</w:t>
            </w:r>
            <w:r>
              <w:rPr>
                <w:rFonts w:ascii="Times New Roman" w:hAnsi="Times New Roman"/>
                <w:b w:val="0"/>
                <w:i w:val="0"/>
                <w:sz w:val="24"/>
              </w:rPr>
              <w:t xml:space="preserve"> (13+ years)</w:t>
            </w:r>
          </w:p>
        </w:tc>
      </w:tr>
    </w:tbl>
    <w:p>
      <w:pPr>
        <w:pStyle w:val="Heading3"/>
      </w:pPr>
      <w:r>
        <w:rPr>
          <w:rFonts w:ascii="Times New Roman" w:hAnsi="Times New Roman"/>
        </w:rPr>
        <w:t>D. Court-Created Assessment Bias</w:t>
      </w:r>
    </w:p>
    <w:p>
      <w:pPr>
        <w:spacing w:line="480" w:lineRule="auto" w:after="0" w:before="0"/>
      </w:pPr>
      <w:r>
        <w:rPr>
          <w:rFonts w:ascii="Times New Roman" w:hAnsi="Times New Roman"/>
          <w:b/>
          <w:sz w:val="24"/>
        </w:rPr>
        <w:t xml:space="preserve">13. </w:t>
      </w:r>
      <w:r>
        <w:rPr>
          <w:rFonts w:ascii="Times New Roman" w:hAnsi="Times New Roman"/>
          <w:b w:val="0"/>
          <w:i w:val="0"/>
          <w:sz w:val="24"/>
        </w:rPr>
        <w:t>The Court compounded the manufactured emergency by sending a letter to HealthWest describing Father's alleged behaviors as "suggestive of a mental health disorder." The second clinician acknowledged this letter influenced her assessment: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First assessment (09/05/2025, WITHOUT court letter):</w:t>
      </w:r>
      <w:r>
        <w:rPr>
          <w:rFonts w:ascii="Times New Roman" w:hAnsi="Times New Roman"/>
          <w:b w:val="0"/>
          <w:i w:val="0"/>
          <w:sz w:val="24"/>
        </w:rPr>
        <w:t xml:space="preserve"> Psychosis = 0, Depression = 0, Anger = 0 b. </w:t>
      </w:r>
      <w:r>
        <w:rPr>
          <w:rFonts w:ascii="Times New Roman" w:hAnsi="Times New Roman"/>
          <w:b/>
          <w:i w:val="0"/>
          <w:sz w:val="24"/>
        </w:rPr>
        <w:t>Second assessment (09/11/2025, AFTER court letter):</w:t>
      </w:r>
      <w:r>
        <w:rPr>
          <w:rFonts w:ascii="Times New Roman" w:hAnsi="Times New Roman"/>
          <w:b w:val="0"/>
          <w:i w:val="0"/>
          <w:sz w:val="24"/>
        </w:rPr>
        <w:t xml:space="preserve"> Psychosis = 2, Depression = 2, Anger = 2</w:t>
      </w:r>
    </w:p>
    <w:p>
      <w:pPr>
        <w:spacing w:line="480" w:lineRule="auto" w:after="0" w:before="0"/>
      </w:pPr>
      <w:r>
        <w:rPr>
          <w:rFonts w:ascii="Times New Roman" w:hAnsi="Times New Roman"/>
          <w:b/>
          <w:sz w:val="24"/>
        </w:rPr>
        <w:t xml:space="preserve">14. </w:t>
      </w:r>
      <w:r>
        <w:rPr>
          <w:rFonts w:ascii="Times New Roman" w:hAnsi="Times New Roman"/>
          <w:b w:val="0"/>
          <w:i w:val="0"/>
          <w:sz w:val="24"/>
        </w:rPr>
        <w:t xml:space="preserve">Even the second clinician could only state a </w:t>
      </w:r>
      <w:r>
        <w:rPr>
          <w:rFonts w:ascii="Times New Roman" w:hAnsi="Times New Roman"/>
          <w:b/>
          <w:i w:val="0"/>
          <w:sz w:val="24"/>
        </w:rPr>
        <w:t>"Rule Out"</w:t>
      </w:r>
      <w:r>
        <w:rPr>
          <w:rFonts w:ascii="Times New Roman" w:hAnsi="Times New Roman"/>
          <w:b w:val="0"/>
          <w:i w:val="0"/>
          <w:sz w:val="24"/>
        </w:rPr>
        <w:t xml:space="preserve"> diagnosis and acknowledged: </w:t>
      </w:r>
      <w:r>
        <w:rPr>
          <w:rFonts w:ascii="Times New Roman" w:hAnsi="Times New Roman"/>
          <w:b w:val="0"/>
          <w:i/>
          <w:sz w:val="24"/>
        </w:rPr>
        <w:t>"It is difficult to definitively assert whether concerns are factual or delusional in the context of a brief screening."</w:t>
      </w:r>
    </w:p>
    <w:p>
      <w:pPr>
        <w:spacing w:line="480" w:lineRule="auto" w:after="0" w:before="0"/>
      </w:pPr>
      <w:r>
        <w:rPr>
          <w:rFonts w:ascii="Times New Roman" w:hAnsi="Times New Roman"/>
          <w:b/>
          <w:sz w:val="24"/>
        </w:rPr>
        <w:t xml:space="preserve">15. </w:t>
      </w:r>
      <w:r>
        <w:rPr>
          <w:rFonts w:ascii="Times New Roman" w:hAnsi="Times New Roman"/>
          <w:b w:val="0"/>
          <w:i w:val="0"/>
          <w:sz w:val="24"/>
        </w:rPr>
        <w:t xml:space="preserve">On </w:t>
      </w:r>
      <w:r>
        <w:rPr>
          <w:rFonts w:ascii="Times New Roman" w:hAnsi="Times New Roman"/>
          <w:b/>
          <w:i w:val="0"/>
          <w:sz w:val="24"/>
        </w:rPr>
        <w:t>October 29, 2025</w:t>
      </w:r>
      <w:r>
        <w:rPr>
          <w:rFonts w:ascii="Times New Roman" w:hAnsi="Times New Roman"/>
          <w:b w:val="0"/>
          <w:i w:val="0"/>
          <w:sz w:val="24"/>
        </w:rPr>
        <w:t xml:space="preserve">, court staff member Pamela Rusco made </w:t>
      </w:r>
      <w:r>
        <w:rPr>
          <w:rFonts w:ascii="Times New Roman" w:hAnsi="Times New Roman"/>
          <w:b/>
          <w:i w:val="0"/>
          <w:sz w:val="24"/>
        </w:rPr>
        <w:t>prohibited ex parte contact</w:t>
      </w:r>
      <w:r>
        <w:rPr>
          <w:rFonts w:ascii="Times New Roman" w:hAnsi="Times New Roman"/>
          <w:b w:val="0"/>
          <w:i w:val="0"/>
          <w:sz w:val="24"/>
        </w:rPr>
        <w:t xml:space="preserve"> with HealthWest clinician Kassandra Gansen at 1:48 PM to arrange testimony — a violation of MCR 2.003(C)(1)(a).</w:t>
      </w:r>
    </w:p>
    <w:p>
      <w:pPr>
        <w:pStyle w:val="Heading3"/>
      </w:pPr>
      <w:r>
        <w:rPr>
          <w:rFonts w:ascii="Times New Roman" w:hAnsi="Times New Roman"/>
        </w:rPr>
        <w:t>E. Developmental Emergency — Critical Window Closing</w:t>
      </w:r>
    </w:p>
    <w:p>
      <w:pPr>
        <w:spacing w:line="480" w:lineRule="auto" w:after="0" w:before="0"/>
      </w:pPr>
      <w:r>
        <w:rPr>
          <w:rFonts w:ascii="Times New Roman" w:hAnsi="Times New Roman"/>
          <w:b/>
          <w:sz w:val="24"/>
        </w:rPr>
        <w:t xml:space="preserve">16. </w:t>
      </w:r>
      <w:r>
        <w:rPr>
          <w:rFonts w:ascii="Times New Roman" w:hAnsi="Times New Roman"/>
          <w:b w:val="0"/>
          <w:i w:val="0"/>
          <w:sz w:val="24"/>
        </w:rPr>
        <w:t xml:space="preserve">L.D.W. is currently approximately </w:t>
      </w:r>
      <w:r>
        <w:rPr>
          <w:rFonts w:ascii="Times New Roman" w:hAnsi="Times New Roman"/>
          <w:b/>
          <w:i w:val="0"/>
          <w:sz w:val="24"/>
        </w:rPr>
        <w:t>3 years and 8 months old</w:t>
      </w:r>
      <w:r>
        <w:rPr>
          <w:rFonts w:ascii="Times New Roman" w:hAnsi="Times New Roman"/>
          <w:b w:val="0"/>
          <w:i w:val="0"/>
          <w:sz w:val="24"/>
        </w:rPr>
        <w:t xml:space="preserve">. He has been completely separated from his father since age </w:t>
      </w:r>
      <w:r>
        <w:rPr>
          <w:rFonts w:ascii="Times New Roman" w:hAnsi="Times New Roman"/>
          <w:b/>
          <w:i w:val="0"/>
          <w:sz w:val="24"/>
        </w:rPr>
        <w:t>2 years and 9 months</w:t>
      </w:r>
      <w:r>
        <w:rPr>
          <w:rFonts w:ascii="Times New Roman" w:hAnsi="Times New Roman"/>
          <w:b w:val="0"/>
          <w:i w:val="0"/>
          <w:sz w:val="24"/>
        </w:rPr>
        <w:t>. This period encompasses the most critical developmental window for attachment formation.</w:t>
      </w:r>
    </w:p>
    <w:p>
      <w:pPr>
        <w:spacing w:line="480" w:lineRule="auto" w:after="0" w:before="0"/>
      </w:pPr>
      <w:r>
        <w:rPr>
          <w:rFonts w:ascii="Times New Roman" w:hAnsi="Times New Roman"/>
          <w:b/>
          <w:sz w:val="24"/>
        </w:rPr>
        <w:t xml:space="preserve">17. </w:t>
      </w:r>
      <w:r>
        <w:rPr>
          <w:rFonts w:ascii="Times New Roman" w:hAnsi="Times New Roman"/>
          <w:b w:val="0"/>
          <w:i w:val="0"/>
          <w:sz w:val="24"/>
        </w:rPr>
        <w:t xml:space="preserve">L.D.W. has now spent more than </w:t>
      </w:r>
      <w:r>
        <w:rPr>
          <w:rFonts w:ascii="Times New Roman" w:hAnsi="Times New Roman"/>
          <w:b/>
          <w:i w:val="0"/>
          <w:sz w:val="24"/>
        </w:rPr>
        <w:t>one-quarter of his entire life</w:t>
      </w:r>
      <w:r>
        <w:rPr>
          <w:rFonts w:ascii="Times New Roman" w:hAnsi="Times New Roman"/>
          <w:b w:val="0"/>
          <w:i w:val="0"/>
          <w:sz w:val="24"/>
        </w:rPr>
        <w:t xml:space="preserve"> (329+ out of ~1,340 days) with </w:t>
      </w:r>
      <w:r>
        <w:rPr>
          <w:rFonts w:ascii="Times New Roman" w:hAnsi="Times New Roman"/>
          <w:b/>
          <w:i w:val="0"/>
          <w:sz w:val="24"/>
        </w:rPr>
        <w:t>zero contact</w:t>
      </w:r>
      <w:r>
        <w:rPr>
          <w:rFonts w:ascii="Times New Roman" w:hAnsi="Times New Roman"/>
          <w:b w:val="0"/>
          <w:i w:val="0"/>
          <w:sz w:val="24"/>
        </w:rPr>
        <w:t xml:space="preserve"> with his father. The developmental science is unequivocal that this prolonged separation during ages 2–4 causes:</w:t>
      </w:r>
    </w:p>
    <w:p>
      <w:pPr>
        <w:spacing w:line="480" w:lineRule="auto" w:after="0" w:before="0"/>
      </w:pPr>
      <w:r>
        <w:rPr>
          <w:rFonts w:ascii="Times New Roman" w:hAnsi="Times New Roman"/>
          <w:b w:val="0"/>
          <w:i w:val="0"/>
          <w:sz w:val="24"/>
        </w:rPr>
        <w:t>a. Attachment disruption and insecure attachment patterns (</w:t>
      </w:r>
      <w:r>
        <w:rPr>
          <w:rFonts w:ascii="Times New Roman" w:hAnsi="Times New Roman"/>
          <w:b w:val="0"/>
          <w:i/>
          <w:sz w:val="24"/>
        </w:rPr>
        <w:t>Bowlby, 1969/1982</w:t>
      </w:r>
      <w:r>
        <w:rPr>
          <w:rFonts w:ascii="Times New Roman" w:hAnsi="Times New Roman"/>
          <w:b w:val="0"/>
          <w:i w:val="0"/>
          <w:sz w:val="24"/>
        </w:rPr>
        <w:t>); b. Regression in developmental milestones (</w:t>
      </w:r>
      <w:r>
        <w:rPr>
          <w:rFonts w:ascii="Times New Roman" w:hAnsi="Times New Roman"/>
          <w:b w:val="0"/>
          <w:i/>
          <w:sz w:val="24"/>
        </w:rPr>
        <w:t>Wallerstein &amp; Kelly, 1980</w:t>
      </w:r>
      <w:r>
        <w:rPr>
          <w:rFonts w:ascii="Times New Roman" w:hAnsi="Times New Roman"/>
          <w:b w:val="0"/>
          <w:i w:val="0"/>
          <w:sz w:val="24"/>
        </w:rPr>
        <w:t>); c. Learned helplessness and diminished self-worth (</w:t>
      </w:r>
      <w:r>
        <w:rPr>
          <w:rFonts w:ascii="Times New Roman" w:hAnsi="Times New Roman"/>
          <w:b w:val="0"/>
          <w:i/>
          <w:sz w:val="24"/>
        </w:rPr>
        <w:t>Baker, 2007</w:t>
      </w:r>
      <w:r>
        <w:rPr>
          <w:rFonts w:ascii="Times New Roman" w:hAnsi="Times New Roman"/>
          <w:b w:val="0"/>
          <w:i w:val="0"/>
          <w:sz w:val="24"/>
        </w:rPr>
        <w:t>); d. Fear of abandonment and separation anxiety (</w:t>
      </w:r>
      <w:r>
        <w:rPr>
          <w:rFonts w:ascii="Times New Roman" w:hAnsi="Times New Roman"/>
          <w:b w:val="0"/>
          <w:i/>
          <w:sz w:val="24"/>
        </w:rPr>
        <w:t>Warshak, 2010</w:t>
      </w:r>
      <w:r>
        <w:rPr>
          <w:rFonts w:ascii="Times New Roman" w:hAnsi="Times New Roman"/>
          <w:b w:val="0"/>
          <w:i w:val="0"/>
          <w:sz w:val="24"/>
        </w:rPr>
        <w:t>); e. Adverse Childhood Experience (ACE) effects (</w:t>
      </w:r>
      <w:r>
        <w:rPr>
          <w:rFonts w:ascii="Times New Roman" w:hAnsi="Times New Roman"/>
          <w:b w:val="0"/>
          <w:i/>
          <w:sz w:val="24"/>
        </w:rPr>
        <w:t>AAP Policy Statement, 2017</w:t>
      </w:r>
      <w:r>
        <w:rPr>
          <w:rFonts w:ascii="Times New Roman" w:hAnsi="Times New Roman"/>
          <w:b w:val="0"/>
          <w:i w:val="0"/>
          <w:sz w:val="24"/>
        </w:rPr>
        <w:t>).</w:t>
      </w:r>
    </w:p>
    <w:p>
      <w:pPr>
        <w:spacing w:line="480" w:lineRule="auto" w:after="0" w:before="0"/>
      </w:pPr>
      <w:r>
        <w:rPr>
          <w:rFonts w:ascii="Times New Roman" w:hAnsi="Times New Roman"/>
          <w:b/>
          <w:sz w:val="24"/>
        </w:rPr>
        <w:t xml:space="preserve">18. </w:t>
      </w:r>
      <w:r>
        <w:rPr>
          <w:rFonts w:ascii="Times New Roman" w:hAnsi="Times New Roman"/>
          <w:b w:val="0"/>
          <w:i w:val="0"/>
          <w:sz w:val="24"/>
        </w:rPr>
        <w:t>HealthWest documented that Father "primarily identified his three year old son as support and reason for living, noting that he cries every day that he can not see him" — clinical evidence of an intact, loving parent-child bond being actively destroyed by the ongoing separation.</w:t>
      </w:r>
    </w:p>
    <w:p>
      <w:r>
        <w:br w:type="page"/>
      </w:r>
    </w:p>
    <w:p>
      <w:pPr>
        <w:pStyle w:val="Heading2"/>
      </w:pPr>
      <w:r>
        <w:rPr>
          <w:rFonts w:ascii="Times New Roman" w:hAnsi="Times New Roman"/>
        </w:rPr>
        <w:t>III. MCL 722.23 BEST INTEREST FACTORS — EMERGENCY ANALYSIS</w:t>
      </w:r>
    </w:p>
    <w:p>
      <w:pPr>
        <w:spacing w:line="480" w:lineRule="auto" w:after="0" w:before="0"/>
      </w:pPr>
      <w:r>
        <w:rPr>
          <w:rFonts w:ascii="Times New Roman" w:hAnsi="Times New Roman"/>
          <w:b/>
          <w:sz w:val="24"/>
        </w:rPr>
        <w:t xml:space="preserve">19. </w:t>
      </w:r>
      <w:r>
        <w:rPr>
          <w:rFonts w:ascii="Times New Roman" w:hAnsi="Times New Roman"/>
          <w:b/>
          <w:i w:val="0"/>
          <w:sz w:val="24"/>
        </w:rPr>
        <w:t>9 of 12 best interest factors (75%) favor Father</w:t>
      </w:r>
      <w:r>
        <w:rPr>
          <w:rFonts w:ascii="Times New Roman" w:hAnsi="Times New Roman"/>
          <w:b w:val="0"/>
          <w:i w:val="0"/>
          <w:sz w:val="24"/>
        </w:rPr>
        <w:t xml:space="preserve"> based on analysis of 82,528 documented findings: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Factor</w:t>
            </w:r>
          </w:p>
        </w:tc>
        <w:tc>
          <w:tcPr>
            <w:tcW w:type="dxa" w:w="2340"/>
          </w:tcPr>
          <w:p>
            <w:pPr>
              <w:spacing w:line="240" w:lineRule="auto"/>
            </w:pPr>
            <w:r/>
            <w:r>
              <w:rPr>
                <w:rFonts w:ascii="Times New Roman" w:hAnsi="Times New Roman"/>
                <w:b/>
                <w:sz w:val="24"/>
              </w:rPr>
              <w:t>MCL 722.27a</w:t>
            </w:r>
          </w:p>
        </w:tc>
        <w:tc>
          <w:tcPr>
            <w:tcW w:type="dxa" w:w="2340"/>
          </w:tcPr>
          <w:p>
            <w:pPr>
              <w:spacing w:line="240" w:lineRule="auto"/>
            </w:pPr>
            <w:r/>
            <w:r>
              <w:rPr>
                <w:rFonts w:ascii="Times New Roman" w:hAnsi="Times New Roman"/>
                <w:b/>
                <w:sz w:val="24"/>
              </w:rPr>
              <w:t>Favors</w:t>
            </w:r>
          </w:p>
        </w:tc>
        <w:tc>
          <w:tcPr>
            <w:tcW w:type="dxa" w:w="2340"/>
          </w:tcPr>
          <w:p>
            <w:pPr>
              <w:spacing w:line="240" w:lineRule="auto"/>
            </w:pPr>
            <w:r/>
            <w:r>
              <w:rPr>
                <w:rFonts w:ascii="Times New Roman" w:hAnsi="Times New Roman"/>
                <w:b/>
                <w:sz w:val="24"/>
              </w:rPr>
              <w:t>Score</w:t>
            </w:r>
          </w:p>
        </w:tc>
      </w:tr>
      <w:tr>
        <w:tc>
          <w:tcPr>
            <w:tcW w:type="dxa" w:w="2340"/>
          </w:tcPr>
          <w:p>
            <w:pPr>
              <w:spacing w:line="240" w:lineRule="auto"/>
            </w:pPr>
            <w:r/>
            <w:r>
              <w:rPr>
                <w:rFonts w:ascii="Times New Roman" w:hAnsi="Times New Roman"/>
                <w:b w:val="0"/>
                <w:i w:val="0"/>
                <w:sz w:val="24"/>
              </w:rPr>
              <w:t>(a) Love, affection, emotional ties</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95/100</w:t>
            </w:r>
          </w:p>
        </w:tc>
      </w:tr>
      <w:tr>
        <w:tc>
          <w:tcPr>
            <w:tcW w:type="dxa" w:w="2340"/>
          </w:tcPr>
          <w:p>
            <w:pPr>
              <w:spacing w:line="240" w:lineRule="auto"/>
            </w:pPr>
            <w:r/>
            <w:r>
              <w:rPr>
                <w:rFonts w:ascii="Times New Roman" w:hAnsi="Times New Roman"/>
                <w:b w:val="0"/>
                <w:i w:val="0"/>
                <w:sz w:val="24"/>
              </w:rPr>
              <w:t>(b) Capacity to give love, guidance</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90/100</w:t>
            </w:r>
          </w:p>
        </w:tc>
      </w:tr>
      <w:tr>
        <w:tc>
          <w:tcPr>
            <w:tcW w:type="dxa" w:w="2340"/>
          </w:tcPr>
          <w:p>
            <w:pPr>
              <w:spacing w:line="240" w:lineRule="auto"/>
            </w:pPr>
            <w:r/>
            <w:r>
              <w:rPr>
                <w:rFonts w:ascii="Times New Roman" w:hAnsi="Times New Roman"/>
                <w:b w:val="0"/>
                <w:i w:val="0"/>
                <w:sz w:val="24"/>
              </w:rPr>
              <w:t>(c) Capacity for food, clothing, medical</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Neutral</w:t>
            </w:r>
          </w:p>
        </w:tc>
        <w:tc>
          <w:tcPr>
            <w:tcW w:type="dxa" w:w="2340"/>
          </w:tcPr>
          <w:p>
            <w:pPr>
              <w:spacing w:line="240" w:lineRule="auto"/>
            </w:pPr>
            <w:r/>
            <w:r>
              <w:rPr>
                <w:rFonts w:ascii="Times New Roman" w:hAnsi="Times New Roman"/>
                <w:b w:val="0"/>
                <w:i w:val="0"/>
                <w:sz w:val="24"/>
              </w:rPr>
              <w:t>70/100</w:t>
            </w:r>
          </w:p>
        </w:tc>
      </w:tr>
      <w:tr>
        <w:tc>
          <w:tcPr>
            <w:tcW w:type="dxa" w:w="2340"/>
          </w:tcPr>
          <w:p>
            <w:pPr>
              <w:spacing w:line="240" w:lineRule="auto"/>
            </w:pPr>
            <w:r/>
            <w:r>
              <w:rPr>
                <w:rFonts w:ascii="Times New Roman" w:hAnsi="Times New Roman"/>
                <w:b w:val="0"/>
                <w:i w:val="0"/>
                <w:sz w:val="24"/>
              </w:rPr>
              <w:t>(d) Stable environment</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85/100</w:t>
            </w:r>
          </w:p>
        </w:tc>
      </w:tr>
      <w:tr>
        <w:tc>
          <w:tcPr>
            <w:tcW w:type="dxa" w:w="2340"/>
          </w:tcPr>
          <w:p>
            <w:pPr>
              <w:spacing w:line="240" w:lineRule="auto"/>
            </w:pPr>
            <w:r/>
            <w:r>
              <w:rPr>
                <w:rFonts w:ascii="Times New Roman" w:hAnsi="Times New Roman"/>
                <w:b w:val="0"/>
                <w:i w:val="0"/>
                <w:sz w:val="24"/>
              </w:rPr>
              <w:t>(e) Permanence of family unit</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80/100</w:t>
            </w:r>
          </w:p>
        </w:tc>
      </w:tr>
      <w:tr>
        <w:tc>
          <w:tcPr>
            <w:tcW w:type="dxa" w:w="2340"/>
          </w:tcPr>
          <w:p>
            <w:pPr>
              <w:spacing w:line="240" w:lineRule="auto"/>
            </w:pPr>
            <w:r/>
            <w:r>
              <w:rPr>
                <w:rFonts w:ascii="Times New Roman" w:hAnsi="Times New Roman"/>
                <w:b w:val="0"/>
                <w:i w:val="0"/>
                <w:sz w:val="24"/>
              </w:rPr>
              <w:t>(f) Moral fitness</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95/100</w:t>
            </w:r>
          </w:p>
        </w:tc>
      </w:tr>
      <w:tr>
        <w:tc>
          <w:tcPr>
            <w:tcW w:type="dxa" w:w="2340"/>
          </w:tcPr>
          <w:p>
            <w:pPr>
              <w:spacing w:line="240" w:lineRule="auto"/>
            </w:pPr>
            <w:r/>
            <w:r>
              <w:rPr>
                <w:rFonts w:ascii="Times New Roman" w:hAnsi="Times New Roman"/>
                <w:b w:val="0"/>
                <w:i w:val="0"/>
                <w:sz w:val="24"/>
              </w:rPr>
              <w:t>(g) Mental/physical health</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95/100</w:t>
            </w:r>
          </w:p>
        </w:tc>
      </w:tr>
      <w:tr>
        <w:tc>
          <w:tcPr>
            <w:tcW w:type="dxa" w:w="2340"/>
          </w:tcPr>
          <w:p>
            <w:pPr>
              <w:spacing w:line="240" w:lineRule="auto"/>
            </w:pPr>
            <w:r/>
            <w:r>
              <w:rPr>
                <w:rFonts w:ascii="Times New Roman" w:hAnsi="Times New Roman"/>
                <w:b w:val="0"/>
                <w:i w:val="0"/>
                <w:sz w:val="24"/>
              </w:rPr>
              <w:t>(h) Home, school, community</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Neutral</w:t>
            </w:r>
          </w:p>
        </w:tc>
        <w:tc>
          <w:tcPr>
            <w:tcW w:type="dxa" w:w="2340"/>
          </w:tcPr>
          <w:p>
            <w:pPr>
              <w:spacing w:line="240" w:lineRule="auto"/>
            </w:pPr>
            <w:r/>
            <w:r>
              <w:rPr>
                <w:rFonts w:ascii="Times New Roman" w:hAnsi="Times New Roman"/>
                <w:b w:val="0"/>
                <w:i w:val="0"/>
                <w:sz w:val="24"/>
              </w:rPr>
              <w:t>75/100</w:t>
            </w:r>
          </w:p>
        </w:tc>
      </w:tr>
      <w:tr>
        <w:tc>
          <w:tcPr>
            <w:tcW w:type="dxa" w:w="2340"/>
          </w:tcPr>
          <w:p>
            <w:pPr>
              <w:spacing w:line="240" w:lineRule="auto"/>
            </w:pPr>
            <w:r/>
            <w:r>
              <w:rPr>
                <w:rFonts w:ascii="Times New Roman" w:hAnsi="Times New Roman"/>
                <w:b w:val="0"/>
                <w:i w:val="0"/>
                <w:sz w:val="24"/>
              </w:rPr>
              <w:t>(i) Child's preference</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N/A (age 3)</w:t>
            </w:r>
          </w:p>
        </w:tc>
        <w:tc>
          <w:tcPr>
            <w:tcW w:type="dxa" w:w="2340"/>
          </w:tcPr>
          <w:p>
            <w:pPr>
              <w:spacing w:line="240" w:lineRule="auto"/>
            </w:pPr>
            <w:r/>
            <w:r>
              <w:rPr>
                <w:rFonts w:ascii="Times New Roman" w:hAnsi="Times New Roman"/>
                <w:b w:val="0"/>
                <w:i w:val="0"/>
                <w:sz w:val="24"/>
              </w:rPr>
              <w:t>—</w:t>
            </w:r>
          </w:p>
        </w:tc>
      </w:tr>
      <w:tr>
        <w:tc>
          <w:tcPr>
            <w:tcW w:type="dxa" w:w="2340"/>
          </w:tcPr>
          <w:p>
            <w:pPr>
              <w:spacing w:line="240" w:lineRule="auto"/>
            </w:pPr>
            <w:r/>
            <w:r>
              <w:rPr>
                <w:rFonts w:ascii="Times New Roman" w:hAnsi="Times New Roman"/>
                <w:b w:val="0"/>
                <w:i w:val="0"/>
                <w:sz w:val="24"/>
              </w:rPr>
              <w:t>(j) Willingness to facilitate</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i w:val="0"/>
                <w:sz w:val="24"/>
              </w:rPr>
              <w:t>Father</w:t>
            </w:r>
          </w:p>
        </w:tc>
        <w:tc>
          <w:tcPr>
            <w:tcW w:type="dxa" w:w="2340"/>
          </w:tcPr>
          <w:p>
            <w:pPr>
              <w:spacing w:line="240" w:lineRule="auto"/>
            </w:pPr>
            <w:r/>
            <w:r>
              <w:rPr>
                <w:rFonts w:ascii="Times New Roman" w:hAnsi="Times New Roman"/>
                <w:b/>
                <w:i w:val="0"/>
                <w:sz w:val="24"/>
              </w:rPr>
              <w:t>100/100</w:t>
            </w:r>
          </w:p>
        </w:tc>
      </w:tr>
      <w:tr>
        <w:tc>
          <w:tcPr>
            <w:tcW w:type="dxa" w:w="2340"/>
          </w:tcPr>
          <w:p>
            <w:pPr>
              <w:spacing w:line="240" w:lineRule="auto"/>
            </w:pPr>
            <w:r/>
            <w:r>
              <w:rPr>
                <w:rFonts w:ascii="Times New Roman" w:hAnsi="Times New Roman"/>
                <w:b w:val="0"/>
                <w:i w:val="0"/>
                <w:sz w:val="24"/>
              </w:rPr>
              <w:t>(k) Domestic violence</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90/100</w:t>
            </w:r>
          </w:p>
        </w:tc>
      </w:tr>
      <w:tr>
        <w:tc>
          <w:tcPr>
            <w:tcW w:type="dxa" w:w="2340"/>
          </w:tcPr>
          <w:p>
            <w:pPr>
              <w:spacing w:line="240" w:lineRule="auto"/>
            </w:pPr>
            <w:r/>
            <w:r>
              <w:rPr>
                <w:rFonts w:ascii="Times New Roman" w:hAnsi="Times New Roman"/>
                <w:b w:val="0"/>
                <w:i w:val="0"/>
                <w:sz w:val="24"/>
              </w:rPr>
              <w:t>(l) Other relevant factor</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80/100</w:t>
            </w:r>
          </w:p>
        </w:tc>
      </w:tr>
    </w:tbl>
    <w:p>
      <w:pPr>
        <w:spacing w:line="480" w:lineRule="auto" w:after="0" w:before="0"/>
      </w:pPr>
      <w:r>
        <w:rPr>
          <w:rFonts w:ascii="Times New Roman" w:hAnsi="Times New Roman"/>
          <w:b/>
          <w:sz w:val="24"/>
        </w:rPr>
        <w:t xml:space="preserve">20. </w:t>
      </w:r>
      <w:r>
        <w:rPr>
          <w:rFonts w:ascii="Times New Roman" w:hAnsi="Times New Roman"/>
          <w:b/>
          <w:i w:val="0"/>
          <w:sz w:val="24"/>
        </w:rPr>
        <w:t>Factor (j) is dispositive.</w:t>
      </w:r>
      <w:r>
        <w:rPr>
          <w:rFonts w:ascii="Times New Roman" w:hAnsi="Times New Roman"/>
          <w:b w:val="0"/>
          <w:i w:val="0"/>
          <w:sz w:val="24"/>
        </w:rPr>
        <w:t xml:space="preserve"> </w:t>
      </w:r>
      <w:r>
        <w:rPr>
          <w:rFonts w:ascii="Times New Roman" w:hAnsi="Times New Roman"/>
          <w:b w:val="0"/>
          <w:i/>
          <w:sz w:val="24"/>
        </w:rPr>
        <w:t>Pierron v Pierron</w:t>
      </w:r>
      <w:r>
        <w:rPr>
          <w:rFonts w:ascii="Times New Roman" w:hAnsi="Times New Roman"/>
          <w:b w:val="0"/>
          <w:i w:val="0"/>
          <w:sz w:val="24"/>
        </w:rPr>
        <w:t xml:space="preserve">, 486 Mich 81, 92–93 (2010) ("willingness to facilitate the parent-child relationship" is "among the most important factors in custody determinations"). Father scores 100/100 — consistently facilitating. Mother scores near-zero: 540 alienation indicators, 329+ days total denial, manufactured ex parte filings. </w:t>
      </w:r>
      <w:r>
        <w:rPr>
          <w:rFonts w:ascii="Times New Roman" w:hAnsi="Times New Roman"/>
          <w:b w:val="0"/>
          <w:i/>
          <w:sz w:val="24"/>
        </w:rPr>
        <w:t>See also Foskett v Foskett</w:t>
      </w:r>
      <w:r>
        <w:rPr>
          <w:rFonts w:ascii="Times New Roman" w:hAnsi="Times New Roman"/>
          <w:b w:val="0"/>
          <w:i w:val="0"/>
          <w:sz w:val="24"/>
        </w:rPr>
        <w:t>, 247 Mich App 1, 10 (2001).</w:t>
      </w:r>
    </w:p>
    <w:p>
      <w:r>
        <w:br w:type="page"/>
      </w:r>
    </w:p>
    <w:p>
      <w:pPr>
        <w:pStyle w:val="Heading2"/>
      </w:pPr>
      <w:r>
        <w:rPr>
          <w:rFonts w:ascii="Times New Roman" w:hAnsi="Times New Roman"/>
        </w:rPr>
        <w:t>IV. LEGAL ARGUMENT</w:t>
      </w:r>
    </w:p>
    <w:p>
      <w:pPr>
        <w:pStyle w:val="Heading3"/>
      </w:pPr>
      <w:r>
        <w:rPr>
          <w:rFonts w:ascii="Times New Roman" w:hAnsi="Times New Roman"/>
        </w:rPr>
        <w:t>A. MCL 722.1203 Emergency Jurisdiction Applies</w:t>
      </w:r>
    </w:p>
    <w:p>
      <w:pPr>
        <w:spacing w:line="480" w:lineRule="auto" w:after="0" w:before="0"/>
      </w:pPr>
      <w:r>
        <w:rPr>
          <w:rFonts w:ascii="Times New Roman" w:hAnsi="Times New Roman"/>
          <w:b/>
          <w:sz w:val="24"/>
        </w:rPr>
        <w:t xml:space="preserve">21. </w:t>
      </w:r>
      <w:r>
        <w:rPr>
          <w:rFonts w:ascii="Times New Roman" w:hAnsi="Times New Roman"/>
          <w:b w:val="0"/>
          <w:i w:val="0"/>
          <w:sz w:val="24"/>
        </w:rPr>
        <w:t>The UCCJEA emergency jurisdiction standard requires a showing that: (1) the child is present in Michigan, and (2) the child has been subjected to or threatened with mistreatment or abuse. Both elements are satisfied.</w:t>
      </w:r>
    </w:p>
    <w:p>
      <w:pPr>
        <w:spacing w:line="480" w:lineRule="auto" w:after="0" w:before="0"/>
      </w:pPr>
      <w:r>
        <w:rPr>
          <w:rFonts w:ascii="Times New Roman" w:hAnsi="Times New Roman"/>
          <w:b/>
          <w:sz w:val="24"/>
        </w:rPr>
        <w:t xml:space="preserve">22. </w:t>
      </w:r>
      <w:r>
        <w:rPr>
          <w:rFonts w:ascii="Times New Roman" w:hAnsi="Times New Roman"/>
          <w:b/>
          <w:i w:val="0"/>
          <w:sz w:val="24"/>
        </w:rPr>
        <w:t>"Mistreatment or abuse" under MCL 722.1203 includes psychological abuse.</w:t>
      </w:r>
      <w:r>
        <w:rPr>
          <w:rFonts w:ascii="Times New Roman" w:hAnsi="Times New Roman"/>
          <w:b w:val="0"/>
          <w:i w:val="0"/>
          <w:sz w:val="24"/>
        </w:rPr>
        <w:t xml:space="preserve"> The systematic destruction of the father-child bond through 540 documented alienation incidents — including complete denial of all contact for 329+ consecutive days — constitutes psychological mistreatment of L.D.W. </w:t>
      </w:r>
      <w:r>
        <w:rPr>
          <w:rFonts w:ascii="Times New Roman" w:hAnsi="Times New Roman"/>
          <w:b w:val="0"/>
          <w:i/>
          <w:sz w:val="24"/>
        </w:rPr>
        <w:t>See In re Sanders</w:t>
      </w:r>
      <w:r>
        <w:rPr>
          <w:rFonts w:ascii="Times New Roman" w:hAnsi="Times New Roman"/>
          <w:b w:val="0"/>
          <w:i w:val="0"/>
          <w:sz w:val="24"/>
        </w:rPr>
        <w:t>, 495 Mich 394 (recognizing alienation as contrary to child's best interests).</w:t>
      </w:r>
    </w:p>
    <w:p>
      <w:pPr>
        <w:spacing w:line="480" w:lineRule="auto" w:after="0" w:before="0"/>
      </w:pPr>
      <w:r>
        <w:rPr>
          <w:rFonts w:ascii="Times New Roman" w:hAnsi="Times New Roman"/>
          <w:b/>
          <w:sz w:val="24"/>
        </w:rPr>
        <w:t xml:space="preserve">23. </w:t>
      </w:r>
      <w:r>
        <w:rPr>
          <w:rFonts w:ascii="Times New Roman" w:hAnsi="Times New Roman"/>
          <w:b w:val="0"/>
          <w:i w:val="0"/>
          <w:sz w:val="24"/>
        </w:rPr>
        <w:t xml:space="preserve">The </w:t>
      </w:r>
      <w:r>
        <w:rPr>
          <w:rFonts w:ascii="Times New Roman" w:hAnsi="Times New Roman"/>
          <w:b/>
          <w:i w:val="0"/>
          <w:sz w:val="24"/>
        </w:rPr>
        <w:t>physical abuse risk</w:t>
      </w:r>
      <w:r>
        <w:rPr>
          <w:rFonts w:ascii="Times New Roman" w:hAnsi="Times New Roman"/>
          <w:b w:val="0"/>
          <w:i w:val="0"/>
          <w:sz w:val="24"/>
        </w:rPr>
        <w:t xml:space="preserve"> from Cody Watson's self-admitted physical discipline of L.D.W., combined with his NIBRS criminal record, independently satisfies the mistreatment prong.</w:t>
      </w:r>
    </w:p>
    <w:p>
      <w:pPr>
        <w:pStyle w:val="Heading3"/>
      </w:pPr>
      <w:r>
        <w:rPr>
          <w:rFonts w:ascii="Times New Roman" w:hAnsi="Times New Roman"/>
        </w:rPr>
        <w:t>B. Due Process Requires Immediate Action</w:t>
      </w:r>
    </w:p>
    <w:p>
      <w:pPr>
        <w:spacing w:line="480" w:lineRule="auto" w:after="0" w:before="0"/>
      </w:pPr>
      <w:r>
        <w:rPr>
          <w:rFonts w:ascii="Times New Roman" w:hAnsi="Times New Roman"/>
          <w:b/>
          <w:sz w:val="24"/>
        </w:rPr>
        <w:t xml:space="preserve">24. </w:t>
      </w:r>
      <w:r>
        <w:rPr>
          <w:rFonts w:ascii="Times New Roman" w:hAnsi="Times New Roman"/>
          <w:b w:val="0"/>
          <w:i w:val="0"/>
          <w:sz w:val="24"/>
        </w:rPr>
        <w:t xml:space="preserve">"The interest of parents in the care, custody, and control of their children — is perhaps the oldest of the fundamental liberty interests recognized by this Court." </w:t>
      </w:r>
      <w:r>
        <w:rPr>
          <w:rFonts w:ascii="Times New Roman" w:hAnsi="Times New Roman"/>
          <w:b w:val="0"/>
          <w:i/>
          <w:sz w:val="24"/>
        </w:rPr>
        <w:t>Troxel v Granville</w:t>
      </w:r>
      <w:r>
        <w:rPr>
          <w:rFonts w:ascii="Times New Roman" w:hAnsi="Times New Roman"/>
          <w:b w:val="0"/>
          <w:i w:val="0"/>
          <w:sz w:val="24"/>
        </w:rPr>
        <w:t>, 530 U.S. 57, 65 (2000).</w:t>
      </w:r>
    </w:p>
    <w:p>
      <w:pPr>
        <w:spacing w:line="480" w:lineRule="auto" w:after="0" w:before="0"/>
      </w:pPr>
      <w:r>
        <w:rPr>
          <w:rFonts w:ascii="Times New Roman" w:hAnsi="Times New Roman"/>
          <w:b/>
          <w:sz w:val="24"/>
        </w:rPr>
        <w:t xml:space="preserve">25. </w:t>
      </w:r>
      <w:r>
        <w:rPr>
          <w:rFonts w:ascii="Times New Roman" w:hAnsi="Times New Roman"/>
          <w:b w:val="0"/>
          <w:i w:val="0"/>
          <w:sz w:val="24"/>
        </w:rPr>
        <w:t xml:space="preserve">When a fundamental liberty interest is at stake, due process requires: (1) notice, (2) an opportunity to be heard, and (3) a decision based on evidence. </w:t>
      </w:r>
      <w:r>
        <w:rPr>
          <w:rFonts w:ascii="Times New Roman" w:hAnsi="Times New Roman"/>
          <w:b w:val="0"/>
          <w:i/>
          <w:sz w:val="24"/>
        </w:rPr>
        <w:t>Mathews v Eldridge</w:t>
      </w:r>
      <w:r>
        <w:rPr>
          <w:rFonts w:ascii="Times New Roman" w:hAnsi="Times New Roman"/>
          <w:b w:val="0"/>
          <w:i w:val="0"/>
          <w:sz w:val="24"/>
        </w:rPr>
        <w:t xml:space="preserve">, 424 U.S. 319 (1976). </w:t>
      </w:r>
      <w:r>
        <w:rPr>
          <w:rFonts w:ascii="Times New Roman" w:hAnsi="Times New Roman"/>
          <w:b/>
          <w:i w:val="0"/>
          <w:sz w:val="24"/>
        </w:rPr>
        <w:t>None of these requirements have been satisfied during 329+ days of total parenting time deprivation.</w:t>
      </w:r>
    </w:p>
    <w:p>
      <w:pPr>
        <w:spacing w:line="480" w:lineRule="auto" w:after="0" w:before="0"/>
      </w:pPr>
      <w:r>
        <w:rPr>
          <w:rFonts w:ascii="Times New Roman" w:hAnsi="Times New Roman"/>
          <w:b/>
          <w:sz w:val="24"/>
        </w:rPr>
        <w:t xml:space="preserve">26. </w:t>
      </w:r>
      <w:r>
        <w:rPr>
          <w:rFonts w:ascii="Times New Roman" w:hAnsi="Times New Roman"/>
          <w:b w:val="0"/>
          <w:i/>
          <w:sz w:val="24"/>
        </w:rPr>
        <w:t>Fuentes v Shevin</w:t>
      </w:r>
      <w:r>
        <w:rPr>
          <w:rFonts w:ascii="Times New Roman" w:hAnsi="Times New Roman"/>
          <w:b w:val="0"/>
          <w:i w:val="0"/>
          <w:sz w:val="24"/>
        </w:rPr>
        <w:t xml:space="preserve">, 407 U.S. 67, 82 (1972): </w:t>
      </w:r>
      <w:r>
        <w:rPr>
          <w:rFonts w:ascii="Times New Roman" w:hAnsi="Times New Roman"/>
          <w:b w:val="0"/>
          <w:i/>
          <w:sz w:val="24"/>
        </w:rPr>
        <w:t>"The right to be heard before being condemned to suffer grievous loss of any kind"</w:t>
      </w:r>
      <w:r>
        <w:rPr>
          <w:rFonts w:ascii="Times New Roman" w:hAnsi="Times New Roman"/>
          <w:b w:val="0"/>
          <w:i w:val="0"/>
          <w:sz w:val="24"/>
        </w:rPr>
        <w:t xml:space="preserve"> is a fundamental requirement of due process. Father was denied this right.</w:t>
      </w:r>
    </w:p>
    <w:p>
      <w:pPr>
        <w:pStyle w:val="Heading3"/>
      </w:pPr>
      <w:r>
        <w:rPr>
          <w:rFonts w:ascii="Times New Roman" w:hAnsi="Times New Roman"/>
        </w:rPr>
        <w:t>C. The Court Cannot Rely on Discredited Evidence</w:t>
      </w:r>
    </w:p>
    <w:p>
      <w:pPr>
        <w:spacing w:line="480" w:lineRule="auto" w:after="0" w:before="0"/>
      </w:pPr>
      <w:r>
        <w:rPr>
          <w:rFonts w:ascii="Times New Roman" w:hAnsi="Times New Roman"/>
          <w:b/>
          <w:sz w:val="24"/>
        </w:rPr>
        <w:t xml:space="preserve">27. </w:t>
      </w:r>
      <w:r>
        <w:rPr>
          <w:rFonts w:ascii="Times New Roman" w:hAnsi="Times New Roman"/>
          <w:b w:val="0"/>
          <w:i w:val="0"/>
          <w:sz w:val="24"/>
        </w:rPr>
        <w:t xml:space="preserve">The entire basis for the current custody arrangement rests on the August 8, 2025 ex parte orders, which were predicated on allegations that HealthWest's clinical evaluation has </w:t>
      </w:r>
      <w:r>
        <w:rPr>
          <w:rFonts w:ascii="Times New Roman" w:hAnsi="Times New Roman"/>
          <w:b/>
          <w:i w:val="0"/>
          <w:sz w:val="24"/>
        </w:rPr>
        <w:t>comprehensively contradicted</w:t>
      </w:r>
      <w:r>
        <w:rPr>
          <w:rFonts w:ascii="Times New Roman" w:hAnsi="Times New Roman"/>
          <w:b w:val="0"/>
          <w:i w:val="0"/>
          <w:sz w:val="24"/>
        </w:rPr>
        <w:t>: Psychosis = 0, Substance Use = 0, Danger = 0, "Neither SMI nor SED," Level of Urgency = "Routine."</w:t>
      </w:r>
    </w:p>
    <w:p>
      <w:pPr>
        <w:spacing w:line="480" w:lineRule="auto" w:after="0" w:before="0"/>
      </w:pPr>
      <w:r>
        <w:rPr>
          <w:rFonts w:ascii="Times New Roman" w:hAnsi="Times New Roman"/>
          <w:b/>
          <w:sz w:val="24"/>
        </w:rPr>
        <w:t xml:space="preserve">28. </w:t>
      </w:r>
      <w:r>
        <w:rPr>
          <w:rFonts w:ascii="Times New Roman" w:hAnsi="Times New Roman"/>
          <w:b w:val="0"/>
          <w:i w:val="0"/>
          <w:sz w:val="24"/>
        </w:rPr>
        <w:t xml:space="preserve">When the factual predicate for a court order is shown to be false, the order cannot stand. </w:t>
      </w:r>
      <w:r>
        <w:rPr>
          <w:rFonts w:ascii="Times New Roman" w:hAnsi="Times New Roman"/>
          <w:b w:val="0"/>
          <w:i/>
          <w:sz w:val="24"/>
        </w:rPr>
        <w:t>MCR 2.612(C)(1)(b)</w:t>
      </w:r>
      <w:r>
        <w:rPr>
          <w:rFonts w:ascii="Times New Roman" w:hAnsi="Times New Roman"/>
          <w:b w:val="0"/>
          <w:i w:val="0"/>
          <w:sz w:val="24"/>
        </w:rPr>
        <w:t xml:space="preserve"> (relief from judgment based on newly discovered evidence).</w:t>
      </w:r>
    </w:p>
    <w:p>
      <w:pPr>
        <w:pStyle w:val="Heading3"/>
      </w:pPr>
      <w:r>
        <w:rPr>
          <w:rFonts w:ascii="Times New Roman" w:hAnsi="Times New Roman"/>
        </w:rPr>
        <w:t>D. Shade v Wright — Total Denial Is Extraordinary</w:t>
      </w:r>
    </w:p>
    <w:p>
      <w:pPr>
        <w:spacing w:line="480" w:lineRule="auto" w:after="0" w:before="0"/>
      </w:pPr>
      <w:r>
        <w:rPr>
          <w:rFonts w:ascii="Times New Roman" w:hAnsi="Times New Roman"/>
          <w:b/>
          <w:sz w:val="24"/>
        </w:rPr>
        <w:t xml:space="preserve">29. </w:t>
      </w:r>
      <w:r>
        <w:rPr>
          <w:rFonts w:ascii="Times New Roman" w:hAnsi="Times New Roman"/>
          <w:b w:val="0"/>
          <w:i/>
          <w:sz w:val="24"/>
        </w:rPr>
        <w:t>Shade v Wright</w:t>
      </w:r>
      <w:r>
        <w:rPr>
          <w:rFonts w:ascii="Times New Roman" w:hAnsi="Times New Roman"/>
          <w:b w:val="0"/>
          <w:i w:val="0"/>
          <w:sz w:val="24"/>
        </w:rPr>
        <w:t xml:space="preserve">, 291 Mich App 17, 31 (2010): </w:t>
      </w:r>
      <w:r>
        <w:rPr>
          <w:rFonts w:ascii="Times New Roman" w:hAnsi="Times New Roman"/>
          <w:b w:val="0"/>
          <w:i/>
          <w:sz w:val="24"/>
        </w:rPr>
        <w:t>"Total denial of parenting time is an extraordinary remedy"</w:t>
      </w:r>
      <w:r>
        <w:rPr>
          <w:rFonts w:ascii="Times New Roman" w:hAnsi="Times New Roman"/>
          <w:b w:val="0"/>
          <w:i w:val="0"/>
          <w:sz w:val="24"/>
        </w:rPr>
        <w:t xml:space="preserve"> requiring compelling justification. No compelling justification exists when the court's own ordered clinical evaluation found the opposite of what was alleged.</w:t>
      </w:r>
    </w:p>
    <w:p>
      <w:r>
        <w:br w:type="page"/>
      </w:r>
    </w:p>
    <w:p>
      <w:pPr>
        <w:pStyle w:val="Heading2"/>
      </w:pPr>
      <w:r>
        <w:rPr>
          <w:rFonts w:ascii="Times New Roman" w:hAnsi="Times New Roman"/>
        </w:rPr>
        <w:t>V. RELIEF REQUESTED</w:t>
      </w:r>
    </w:p>
    <w:p>
      <w:pPr>
        <w:spacing w:line="480" w:lineRule="auto" w:after="0" w:before="0"/>
      </w:pPr>
      <w:r>
        <w:rPr>
          <w:rFonts w:ascii="Times New Roman" w:hAnsi="Times New Roman"/>
          <w:b w:val="0"/>
          <w:i w:val="0"/>
          <w:sz w:val="24"/>
        </w:rPr>
        <w:t>WHEREFORE, Plaintiff Andrew J. Pigors respectfully requests that this Court:</w:t>
      </w:r>
    </w:p>
    <w:p>
      <w:pPr>
        <w:spacing w:line="480" w:lineRule="auto" w:after="0" w:before="0"/>
      </w:pPr>
      <w:r>
        <w:rPr>
          <w:rFonts w:ascii="Times New Roman" w:hAnsi="Times New Roman"/>
          <w:b/>
          <w:sz w:val="24"/>
        </w:rPr>
        <w:t xml:space="preserve">1. </w:t>
      </w:r>
      <w:r>
        <w:rPr>
          <w:rFonts w:ascii="Times New Roman" w:hAnsi="Times New Roman"/>
          <w:b/>
          <w:i w:val="0"/>
          <w:sz w:val="24"/>
        </w:rPr>
        <w:t>FIND</w:t>
      </w:r>
      <w:r>
        <w:rPr>
          <w:rFonts w:ascii="Times New Roman" w:hAnsi="Times New Roman"/>
          <w:b w:val="0"/>
          <w:i w:val="0"/>
          <w:sz w:val="24"/>
        </w:rPr>
        <w:t xml:space="preserve"> that this Court has emergency jurisdiction under MCL 722.1203(1) based on the evidence of mistreatment and abuse described herein;</w:t>
      </w:r>
    </w:p>
    <w:p>
      <w:pPr>
        <w:spacing w:line="480" w:lineRule="auto" w:after="0" w:before="0"/>
      </w:pPr>
      <w:r>
        <w:rPr>
          <w:rFonts w:ascii="Times New Roman" w:hAnsi="Times New Roman"/>
          <w:b/>
          <w:sz w:val="24"/>
        </w:rPr>
        <w:t xml:space="preserve">2. </w:t>
      </w:r>
      <w:r>
        <w:rPr>
          <w:rFonts w:ascii="Times New Roman" w:hAnsi="Times New Roman"/>
          <w:b/>
          <w:i w:val="0"/>
          <w:sz w:val="24"/>
        </w:rPr>
        <w:t>ENTER</w:t>
      </w:r>
      <w:r>
        <w:rPr>
          <w:rFonts w:ascii="Times New Roman" w:hAnsi="Times New Roman"/>
          <w:b w:val="0"/>
          <w:i w:val="0"/>
          <w:sz w:val="24"/>
        </w:rPr>
        <w:t xml:space="preserve"> an Emergency Order granting Plaintiff temporary sole physical custody of L.D.W. pending an evidentiary hearing, based on: (a) Mother's documented pattern of alienation constituting child psychological abuse; (b) physical abuse risk from Cody Watson's admitted discipline of L.D.W.; (c) the discredited factual basis for the current ex parte orders;</w:t>
      </w:r>
    </w:p>
    <w:p>
      <w:pPr>
        <w:spacing w:line="480" w:lineRule="auto" w:after="0" w:before="0"/>
      </w:pPr>
      <w:r>
        <w:rPr>
          <w:rFonts w:ascii="Times New Roman" w:hAnsi="Times New Roman"/>
          <w:b/>
          <w:sz w:val="24"/>
        </w:rPr>
        <w:t xml:space="preserve">3. </w:t>
      </w:r>
      <w:r>
        <w:rPr>
          <w:rFonts w:ascii="Times New Roman" w:hAnsi="Times New Roman"/>
          <w:b/>
          <w:i w:val="0"/>
          <w:sz w:val="24"/>
        </w:rPr>
        <w:t>IN THE ALTERNATIVE</w:t>
      </w:r>
      <w:r>
        <w:rPr>
          <w:rFonts w:ascii="Times New Roman" w:hAnsi="Times New Roman"/>
          <w:b w:val="0"/>
          <w:i w:val="0"/>
          <w:sz w:val="24"/>
        </w:rPr>
        <w:t>, enter an Emergency Order immediately restoring a minimum 50/50 parenting time schedule consistent with the arrangement that existed from birth through July 2024;</w:t>
      </w:r>
    </w:p>
    <w:p>
      <w:pPr>
        <w:spacing w:line="480" w:lineRule="auto" w:after="0" w:before="0"/>
      </w:pPr>
      <w:r>
        <w:rPr>
          <w:rFonts w:ascii="Times New Roman" w:hAnsi="Times New Roman"/>
          <w:b/>
          <w:sz w:val="24"/>
        </w:rPr>
        <w:t xml:space="preserve">4. </w:t>
      </w:r>
      <w:r>
        <w:rPr>
          <w:rFonts w:ascii="Times New Roman" w:hAnsi="Times New Roman"/>
          <w:b/>
          <w:i w:val="0"/>
          <w:sz w:val="24"/>
        </w:rPr>
        <w:t>SCHEDULE</w:t>
      </w:r>
      <w:r>
        <w:rPr>
          <w:rFonts w:ascii="Times New Roman" w:hAnsi="Times New Roman"/>
          <w:b w:val="0"/>
          <w:i w:val="0"/>
          <w:sz w:val="24"/>
        </w:rPr>
        <w:t xml:space="preserve"> an evidentiary hearing within 14 days pursuant to MCR 3.207(C)(5);</w:t>
      </w:r>
    </w:p>
    <w:p>
      <w:pPr>
        <w:spacing w:line="480" w:lineRule="auto" w:after="0" w:before="0"/>
      </w:pPr>
      <w:r>
        <w:rPr>
          <w:rFonts w:ascii="Times New Roman" w:hAnsi="Times New Roman"/>
          <w:b/>
          <w:sz w:val="24"/>
        </w:rPr>
        <w:t xml:space="preserve">5. </w:t>
      </w:r>
      <w:r>
        <w:rPr>
          <w:rFonts w:ascii="Times New Roman" w:hAnsi="Times New Roman"/>
          <w:b/>
          <w:i w:val="0"/>
          <w:sz w:val="24"/>
        </w:rPr>
        <w:t>ORDER</w:t>
      </w:r>
      <w:r>
        <w:rPr>
          <w:rFonts w:ascii="Times New Roman" w:hAnsi="Times New Roman"/>
          <w:b w:val="0"/>
          <w:i w:val="0"/>
          <w:sz w:val="24"/>
        </w:rPr>
        <w:t xml:space="preserve"> that no member of the Watson family (Albert, Lori, or Cody Watson) shall be present during custody exchanges;</w:t>
      </w:r>
    </w:p>
    <w:p>
      <w:pPr>
        <w:spacing w:line="480" w:lineRule="auto" w:after="0" w:before="0"/>
      </w:pPr>
      <w:r>
        <w:rPr>
          <w:rFonts w:ascii="Times New Roman" w:hAnsi="Times New Roman"/>
          <w:b/>
          <w:sz w:val="24"/>
        </w:rPr>
        <w:t xml:space="preserve">6. </w:t>
      </w:r>
      <w:r>
        <w:rPr>
          <w:rFonts w:ascii="Times New Roman" w:hAnsi="Times New Roman"/>
          <w:b/>
          <w:i w:val="0"/>
          <w:sz w:val="24"/>
        </w:rPr>
        <w:t>APPOINT</w:t>
      </w:r>
      <w:r>
        <w:rPr>
          <w:rFonts w:ascii="Times New Roman" w:hAnsi="Times New Roman"/>
          <w:b w:val="0"/>
          <w:i w:val="0"/>
          <w:sz w:val="24"/>
        </w:rPr>
        <w:t xml:space="preserve"> a Guardian Ad Litem for L.D.W. to independently assess the child's best interests;</w:t>
      </w:r>
    </w:p>
    <w:p>
      <w:pPr>
        <w:spacing w:line="480" w:lineRule="auto" w:after="0" w:before="0"/>
      </w:pPr>
      <w:r>
        <w:rPr>
          <w:rFonts w:ascii="Times New Roman" w:hAnsi="Times New Roman"/>
          <w:b/>
          <w:sz w:val="24"/>
        </w:rPr>
        <w:t xml:space="preserve">7. </w:t>
      </w:r>
      <w:r>
        <w:rPr>
          <w:rFonts w:ascii="Times New Roman" w:hAnsi="Times New Roman"/>
          <w:b/>
          <w:i w:val="0"/>
          <w:sz w:val="24"/>
        </w:rPr>
        <w:t>ORDER</w:t>
      </w:r>
      <w:r>
        <w:rPr>
          <w:rFonts w:ascii="Times New Roman" w:hAnsi="Times New Roman"/>
          <w:b w:val="0"/>
          <w:i w:val="0"/>
          <w:sz w:val="24"/>
        </w:rPr>
        <w:t xml:space="preserve"> make-up parenting time for the 329+ days of denied father-child contact, pursuant to MCL 722.27a(7);</w:t>
      </w:r>
    </w:p>
    <w:p>
      <w:pPr>
        <w:spacing w:line="480" w:lineRule="auto" w:after="0" w:before="0"/>
      </w:pPr>
      <w:r>
        <w:rPr>
          <w:rFonts w:ascii="Times New Roman" w:hAnsi="Times New Roman"/>
          <w:b/>
          <w:sz w:val="24"/>
        </w:rPr>
        <w:t xml:space="preserve">8. </w:t>
      </w:r>
      <w:r>
        <w:rPr>
          <w:rFonts w:ascii="Times New Roman" w:hAnsi="Times New Roman"/>
          <w:b/>
          <w:i w:val="0"/>
          <w:sz w:val="24"/>
        </w:rPr>
        <w:t>AWARD</w:t>
      </w:r>
      <w:r>
        <w:rPr>
          <w:rFonts w:ascii="Times New Roman" w:hAnsi="Times New Roman"/>
          <w:b w:val="0"/>
          <w:i w:val="0"/>
          <w:sz w:val="24"/>
        </w:rPr>
        <w:t xml:space="preserve"> Plaintiff reasonable costs and fees incurred in bringing this emergency motion.</w:t>
      </w:r>
    </w:p>
    <w:p>
      <w:r>
        <w:br w:type="page"/>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 </w:t>
      </w:r>
      <w:r>
        <w:rPr>
          <w:rFonts w:ascii="Times New Roman" w:hAnsi="Times New Roman"/>
          <w:b w:val="0"/>
          <w:i/>
          <w:sz w:val="24"/>
        </w:rPr>
        <w:t>Pro Se</w:t>
      </w:r>
      <w:r>
        <w:rPr>
          <w:rFonts w:ascii="Times New Roman" w:hAnsi="Times New Roman"/>
          <w:b w:val="0"/>
          <w:i w:val="0"/>
          <w:sz w:val="24"/>
        </w:rPr>
        <w:t xml:space="preserve"> 1977 Whitehall Rd, Laketon Township, MI 49445 Telephone: (231) 903-5690 Email: andrewjpigors@gmail.com</w:t>
      </w:r>
    </w:p>
    <w:p>
      <w:pPr>
        <w:spacing w:line="480" w:lineRule="auto" w:after="0" w:before="0"/>
      </w:pPr>
      <w:r>
        <w:rPr>
          <w:rFonts w:ascii="Times New Roman" w:hAnsi="Times New Roman"/>
          <w:b w:val="0"/>
          <w:i w:val="0"/>
          <w:sz w:val="24"/>
        </w:rPr>
        <w:t>Date: _______________</w:t>
      </w:r>
    </w:p>
    <w:p>
      <w:r>
        <w:br w:type="page"/>
      </w:r>
    </w:p>
    <w:p>
      <w:pPr>
        <w:spacing w:line="480" w:lineRule="auto" w:after="240" w:before="0"/>
        <w:jc w:val="center"/>
      </w:pPr>
      <w:r>
        <w:rPr>
          <w:rFonts w:ascii="Times New Roman" w:hAnsi="Times New Roman"/>
          <w:b/>
          <w:i w:val="0"/>
          <w:sz w:val="24"/>
        </w:rPr>
        <w:t>PROPOSED ORDER</w:t>
      </w:r>
    </w:p>
    <w:p>
      <w:r>
        <w:br w:type="page"/>
      </w:r>
    </w:p>
    <w:p>
      <w:pPr>
        <w:spacing w:line="480" w:lineRule="auto" w:after="240" w:before="0"/>
        <w:jc w:val="center"/>
      </w:pPr>
      <w:r>
        <w:rPr>
          <w:rFonts w:ascii="Times New Roman" w:hAnsi="Times New Roman"/>
          <w:b/>
          <w:i w:val="0"/>
          <w:sz w:val="24"/>
        </w:rPr>
        <w:t>STATE OF MICHIGAN</w:t>
      </w:r>
    </w:p>
    <w:p>
      <w:pPr>
        <w:spacing w:line="480" w:lineRule="auto" w:after="240" w:before="0"/>
        <w:jc w:val="center"/>
      </w:pPr>
      <w:r>
        <w:rPr>
          <w:rFonts w:ascii="Times New Roman" w:hAnsi="Times New Roman"/>
          <w:b/>
          <w:i w:val="0"/>
          <w:sz w:val="24"/>
        </w:rPr>
        <w:t>IN THE 14TH JUDICIAL CIRCUIT COURT — FAMILY DIVISION</w:t>
      </w:r>
    </w:p>
    <w:p>
      <w:pPr>
        <w:spacing w:line="480" w:lineRule="auto" w:after="240" w:before="0"/>
        <w:jc w:val="center"/>
      </w:pPr>
      <w:r>
        <w:rPr>
          <w:rFonts w:ascii="Times New Roman" w:hAnsi="Times New Roman"/>
          <w:b/>
          <w:i w:val="0"/>
          <w:sz w:val="24"/>
        </w:rPr>
        <w:t>COUNTY OF MUSKEGON</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spacing w:line="480" w:lineRule="auto" w:after="240" w:before="0"/>
        <w:jc w:val="center"/>
      </w:pPr>
      <w:r>
        <w:rPr>
          <w:rFonts w:ascii="Times New Roman" w:hAnsi="Times New Roman"/>
          <w:b/>
          <w:i w:val="0"/>
          <w:sz w:val="24"/>
        </w:rPr>
        <w:t>ORDER GRANTING EMERGENCY TEMPORARY CUSTODY</w:t>
      </w:r>
    </w:p>
    <w:p>
      <w:pPr>
        <w:spacing w:line="480" w:lineRule="auto" w:after="240" w:before="0"/>
        <w:jc w:val="center"/>
      </w:pPr>
      <w:r>
        <w:rPr>
          <w:rFonts w:ascii="Times New Roman" w:hAnsi="Times New Roman"/>
          <w:b/>
          <w:i w:val="0"/>
          <w:sz w:val="24"/>
        </w:rPr>
        <w:t>UNDER MCL 722.1203 (UCCJEA EMERGENCY JURISDICTION)</w:t>
      </w:r>
    </w:p>
    <w:p>
      <w:pPr>
        <w:spacing w:line="480" w:lineRule="auto" w:after="0" w:before="0"/>
      </w:pPr>
      <w:r>
        <w:rPr>
          <w:rFonts w:ascii="Times New Roman" w:hAnsi="Times New Roman"/>
          <w:b w:val="0"/>
          <w:i w:val="0"/>
          <w:sz w:val="24"/>
        </w:rPr>
        <w:t>At a session of said Court held in the City of Muskegon, Muskegon County, Michigan,</w:t>
      </w:r>
    </w:p>
    <w:p>
      <w:pPr>
        <w:spacing w:line="480" w:lineRule="auto" w:after="0" w:before="0"/>
      </w:pPr>
      <w:r>
        <w:rPr>
          <w:rFonts w:ascii="Times New Roman" w:hAnsi="Times New Roman"/>
          <w:b w:val="0"/>
          <w:i w:val="0"/>
          <w:sz w:val="24"/>
        </w:rPr>
        <w:t>on the _____ day of ______________, 2026.</w:t>
      </w:r>
    </w:p>
    <w:p>
      <w:pPr>
        <w:spacing w:line="480" w:lineRule="auto" w:after="0" w:before="0"/>
      </w:pPr>
      <w:r>
        <w:rPr>
          <w:rFonts w:ascii="Times New Roman" w:hAnsi="Times New Roman"/>
          <w:b/>
          <w:i w:val="0"/>
          <w:sz w:val="24"/>
        </w:rPr>
        <w:t>PRESENT: HON. _______________________, Circuit Judge</w:t>
      </w:r>
    </w:p>
    <w:p>
      <w:r>
        <w:br w:type="page"/>
      </w:r>
    </w:p>
    <w:p>
      <w:pPr>
        <w:spacing w:line="480" w:lineRule="auto" w:after="0" w:before="0"/>
      </w:pPr>
      <w:r>
        <w:rPr>
          <w:rFonts w:ascii="Times New Roman" w:hAnsi="Times New Roman"/>
          <w:b w:val="0"/>
          <w:i w:val="0"/>
          <w:sz w:val="24"/>
        </w:rPr>
        <w:t>This matter having come before the Court on Plaintiff's Emergency Motion for Temporary Custody Under UCCJEA Emergency Jurisdiction, and the Court having reviewed the motion, supporting affidavit, exhibits, and the file in this case, and being otherwise fully advised in the premises;</w:t>
      </w:r>
    </w:p>
    <w:p>
      <w:pPr>
        <w:spacing w:line="480" w:lineRule="auto" w:after="0" w:before="0"/>
      </w:pPr>
      <w:r>
        <w:rPr>
          <w:rFonts w:ascii="Times New Roman" w:hAnsi="Times New Roman"/>
          <w:b/>
          <w:i w:val="0"/>
          <w:sz w:val="24"/>
        </w:rPr>
        <w:t>THE COURT FINDS:</w:t>
      </w:r>
    </w:p>
    <w:p>
      <w:pPr>
        <w:spacing w:line="480" w:lineRule="auto" w:after="0" w:before="0"/>
      </w:pPr>
      <w:r>
        <w:rPr>
          <w:rFonts w:ascii="Times New Roman" w:hAnsi="Times New Roman"/>
          <w:b/>
          <w:sz w:val="24"/>
        </w:rPr>
        <w:t xml:space="preserve">1. </w:t>
      </w:r>
      <w:r>
        <w:rPr>
          <w:rFonts w:ascii="Times New Roman" w:hAnsi="Times New Roman"/>
          <w:b w:val="0"/>
          <w:i w:val="0"/>
          <w:sz w:val="24"/>
        </w:rPr>
        <w:t>This Court has emergency jurisdiction under MCL 722.1203(1) because the minor child L.D.W. is present in this state and has been subjected to mistreatment and abuse, including systematic parental alienation and physical discipline by a household member with a documented criminal history.</w:t>
      </w:r>
    </w:p>
    <w:p>
      <w:pPr>
        <w:spacing w:line="480" w:lineRule="auto" w:after="0" w:before="0"/>
      </w:pPr>
      <w:r>
        <w:rPr>
          <w:rFonts w:ascii="Times New Roman" w:hAnsi="Times New Roman"/>
          <w:b/>
          <w:sz w:val="24"/>
        </w:rPr>
        <w:t xml:space="preserve">2. </w:t>
      </w:r>
      <w:r>
        <w:rPr>
          <w:rFonts w:ascii="Times New Roman" w:hAnsi="Times New Roman"/>
          <w:b w:val="0"/>
          <w:i w:val="0"/>
          <w:sz w:val="24"/>
        </w:rPr>
        <w:t>Emergency protection is necessary to prevent further harm to the minor child.</w:t>
      </w:r>
    </w:p>
    <w:p>
      <w:pPr>
        <w:spacing w:line="480" w:lineRule="auto" w:after="0" w:before="0"/>
      </w:pPr>
      <w:r>
        <w:rPr>
          <w:rFonts w:ascii="Times New Roman" w:hAnsi="Times New Roman"/>
          <w:b/>
          <w:sz w:val="24"/>
        </w:rPr>
        <w:t xml:space="preserve">3. </w:t>
      </w:r>
      <w:r>
        <w:rPr>
          <w:rFonts w:ascii="Times New Roman" w:hAnsi="Times New Roman"/>
          <w:b w:val="0"/>
          <w:i w:val="0"/>
          <w:sz w:val="24"/>
        </w:rPr>
        <w:t>The factual predicate for the August 8, 2025 ex parte orders has been contradicted by the HealthWest clinical evaluation of September 5, 2025.</w:t>
      </w:r>
    </w:p>
    <w:p>
      <w:pPr>
        <w:spacing w:line="480" w:lineRule="auto" w:after="0" w:before="0"/>
      </w:pPr>
      <w:r>
        <w:rPr>
          <w:rFonts w:ascii="Times New Roman" w:hAnsi="Times New Roman"/>
          <w:b/>
          <w:sz w:val="24"/>
        </w:rPr>
        <w:t xml:space="preserve">4. </w:t>
      </w:r>
      <w:r>
        <w:rPr>
          <w:rFonts w:ascii="Times New Roman" w:hAnsi="Times New Roman"/>
          <w:b w:val="0"/>
          <w:i w:val="0"/>
          <w:sz w:val="24"/>
        </w:rPr>
        <w:t>The best interest factors under MCL 722.23 favor restoration of Father's custody or, at minimum, equal parenting time.</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Plaintiff Andrew J. Pigors is granted temporary physical custody of the minor child L.D.W. (DOB: November 9, 2022) pending an evidentiary hearing on permanent custody.</w:t>
      </w:r>
    </w:p>
    <w:p>
      <w:pPr>
        <w:spacing w:line="480" w:lineRule="auto" w:after="0" w:before="0"/>
      </w:pPr>
      <w:r>
        <w:rPr>
          <w:rFonts w:ascii="Times New Roman" w:hAnsi="Times New Roman"/>
          <w:b w:val="0"/>
          <w:i w:val="0"/>
          <w:sz w:val="24"/>
        </w:rPr>
        <w:t>OR IN THE ALTERNATIVE:</w:t>
      </w:r>
    </w:p>
    <w:p>
      <w:pPr>
        <w:spacing w:line="480" w:lineRule="auto" w:after="0" w:before="0"/>
      </w:pPr>
      <w:r>
        <w:rPr>
          <w:rFonts w:ascii="Times New Roman" w:hAnsi="Times New Roman"/>
          <w:b/>
          <w:sz w:val="24"/>
        </w:rPr>
        <w:t xml:space="preserve">1. </w:t>
      </w:r>
      <w:r>
        <w:rPr>
          <w:rFonts w:ascii="Times New Roman" w:hAnsi="Times New Roman"/>
          <w:b w:val="0"/>
          <w:i w:val="0"/>
          <w:sz w:val="24"/>
        </w:rPr>
        <w:t>The August 8, 2025 Ex Parte Orders suspending Plaintiff's parenting time are VACATED. Parenting time is restored to the 50/50 arrangement in effect from birth through July 17, 2024.</w:t>
      </w:r>
    </w:p>
    <w:p>
      <w:pPr>
        <w:spacing w:line="480" w:lineRule="auto" w:after="0" w:before="0"/>
      </w:pPr>
      <w:r>
        <w:rPr>
          <w:rFonts w:ascii="Times New Roman" w:hAnsi="Times New Roman"/>
          <w:b/>
          <w:sz w:val="24"/>
        </w:rPr>
        <w:t xml:space="preserve">2. </w:t>
      </w:r>
      <w:r>
        <w:rPr>
          <w:rFonts w:ascii="Times New Roman" w:hAnsi="Times New Roman"/>
          <w:b w:val="0"/>
          <w:i w:val="0"/>
          <w:sz w:val="24"/>
        </w:rPr>
        <w:t>An evidentiary hearing on permanent custody and parenting time is scheduled for ______________, 2026 at ______ ☐ AM ☐ PM.</w:t>
      </w:r>
    </w:p>
    <w:p>
      <w:pPr>
        <w:spacing w:line="480" w:lineRule="auto" w:after="0" w:before="0"/>
      </w:pPr>
      <w:r>
        <w:rPr>
          <w:rFonts w:ascii="Times New Roman" w:hAnsi="Times New Roman"/>
          <w:b/>
          <w:sz w:val="24"/>
        </w:rPr>
        <w:t xml:space="preserve">3. </w:t>
      </w:r>
      <w:r>
        <w:rPr>
          <w:rFonts w:ascii="Times New Roman" w:hAnsi="Times New Roman"/>
          <w:b w:val="0"/>
          <w:i w:val="0"/>
          <w:sz w:val="24"/>
        </w:rPr>
        <w:t>Neither Albert Watson, Lori Watson, nor Cody Watson shall be present at custody exchanges.</w:t>
      </w:r>
    </w:p>
    <w:p>
      <w:pPr>
        <w:spacing w:line="480" w:lineRule="auto" w:after="0" w:before="0"/>
      </w:pPr>
      <w:r>
        <w:rPr>
          <w:rFonts w:ascii="Times New Roman" w:hAnsi="Times New Roman"/>
          <w:b/>
          <w:sz w:val="24"/>
        </w:rPr>
        <w:t xml:space="preserve">4. </w:t>
      </w:r>
      <w:r>
        <w:rPr>
          <w:rFonts w:ascii="Times New Roman" w:hAnsi="Times New Roman"/>
          <w:b w:val="0"/>
          <w:i w:val="0"/>
          <w:sz w:val="24"/>
        </w:rPr>
        <w:t>A Guardian Ad Litem shall be appointed to investigate and report to the Court on L.D.W.'s best interests.</w:t>
      </w:r>
    </w:p>
    <w:p>
      <w:pPr>
        <w:spacing w:line="480" w:lineRule="auto" w:after="0" w:before="0"/>
      </w:pPr>
      <w:r>
        <w:rPr>
          <w:rFonts w:ascii="Times New Roman" w:hAnsi="Times New Roman"/>
          <w:b/>
          <w:sz w:val="24"/>
        </w:rPr>
        <w:t xml:space="preserve">5. </w:t>
      </w:r>
      <w:r>
        <w:rPr>
          <w:rFonts w:ascii="Times New Roman" w:hAnsi="Times New Roman"/>
          <w:b w:val="0"/>
          <w:i w:val="0"/>
          <w:sz w:val="24"/>
        </w:rPr>
        <w:t>Make-up parenting time for the period of denied contact shall be determined at the evidentiary hearing.</w:t>
      </w:r>
    </w:p>
    <w:p>
      <w:pPr>
        <w:spacing w:line="480" w:lineRule="auto" w:after="0" w:before="0"/>
      </w:pPr>
      <w:r>
        <w:rPr>
          <w:rFonts w:ascii="Times New Roman" w:hAnsi="Times New Roman"/>
          <w:b/>
          <w:sz w:val="24"/>
        </w:rPr>
        <w:t xml:space="preserve">6. </w:t>
      </w:r>
      <w:r>
        <w:rPr>
          <w:rFonts w:ascii="Times New Roman" w:hAnsi="Times New Roman"/>
          <w:b w:val="0"/>
          <w:i w:val="0"/>
          <w:sz w:val="24"/>
        </w:rPr>
        <w:t>This order is effective immediately and shall remain in effect until modified by further order of this Court following an evidentiary hearing.</w:t>
      </w:r>
    </w:p>
    <w:p>
      <w:r>
        <w:br w:type="page"/>
      </w:r>
    </w:p>
    <w:p>
      <w:pPr>
        <w:spacing w:line="480" w:lineRule="auto" w:after="0" w:before="0"/>
      </w:pPr>
      <w:r>
        <w:rPr>
          <w:rFonts w:ascii="Times New Roman" w:hAnsi="Times New Roman"/>
          <w:b w:val="0"/>
          <w:i w:val="0"/>
          <w:sz w:val="24"/>
        </w:rPr>
        <w:t>IT IS SO ORDERED.</w:t>
      </w:r>
    </w:p>
    <w:p>
      <w:r>
        <w:br w:type="page"/>
      </w:r>
    </w:p>
    <w:p>
      <w:pPr>
        <w:spacing w:line="480" w:lineRule="auto" w:after="0" w:before="0"/>
      </w:pPr>
      <w:r>
        <w:rPr>
          <w:rFonts w:ascii="Times New Roman" w:hAnsi="Times New Roman"/>
          <w:b w:val="0"/>
          <w:i w:val="0"/>
          <w:sz w:val="24"/>
        </w:rPr>
        <w:t>HON. ___________________________ Circuit Court Judge</w:t>
      </w:r>
    </w:p>
    <w:p>
      <w:pPr>
        <w:spacing w:line="480" w:lineRule="auto" w:after="0" w:before="0"/>
      </w:pPr>
      <w:r>
        <w:rPr>
          <w:rFonts w:ascii="Times New Roman" w:hAnsi="Times New Roman"/>
          <w:b w:val="0"/>
          <w:i w:val="0"/>
          <w:sz w:val="24"/>
        </w:rPr>
        <w:t>Date: _______________</w:t>
      </w:r>
    </w:p>
    <w:p>
      <w:r>
        <w:br w:type="page"/>
      </w:r>
    </w:p>
    <w:p>
      <w:pPr>
        <w:spacing w:line="480" w:lineRule="auto" w:after="240" w:before="0"/>
        <w:jc w:val="center"/>
      </w:pPr>
      <w:r>
        <w:rPr>
          <w:rFonts w:ascii="Times New Roman" w:hAnsi="Times New Roman"/>
          <w:b/>
          <w:i w:val="0"/>
          <w:sz w:val="24"/>
        </w:rPr>
        <w:t>CERTIFICATE OF SERVICE</w:t>
      </w:r>
    </w:p>
    <w:p>
      <w:pPr>
        <w:spacing w:line="480" w:lineRule="auto" w:after="0" w:before="0"/>
      </w:pPr>
      <w:r>
        <w:rPr>
          <w:rFonts w:ascii="Times New Roman" w:hAnsi="Times New Roman"/>
          <w:b w:val="0"/>
          <w:i w:val="0"/>
          <w:sz w:val="24"/>
        </w:rPr>
        <w:t>I hereby certify that on the _____ day of ______________, 2026, I served a true and correct copy of this EMERGENCY MOTION FOR TEMPORARY CUSTODY UNDER UCCJEA EMERGENCY JURISDICTION and all attachments upon the following by the method indicated:</w:t>
      </w:r>
    </w:p>
    <w:p>
      <w:pPr>
        <w:spacing w:line="480" w:lineRule="auto" w:after="0" w:before="0"/>
      </w:pPr>
      <w:r>
        <w:rPr>
          <w:rFonts w:ascii="Times New Roman" w:hAnsi="Times New Roman"/>
          <w:b/>
          <w:i w:val="0"/>
          <w:sz w:val="24"/>
        </w:rPr>
        <w:t>Jennifer Barnes</w:t>
      </w:r>
      <w:r>
        <w:rPr>
          <w:rFonts w:ascii="Times New Roman" w:hAnsi="Times New Roman"/>
          <w:b w:val="0"/>
          <w:i w:val="0"/>
          <w:sz w:val="24"/>
        </w:rPr>
        <w:t xml:space="preserve"> (Counsel for Defendant) Barnes Law Firm, PLLC, 880 Jefferson St., Ste. B, Muskegon, MI 49440 ☐ First Class U.S. Mail ☐ Email ☐ MiFILE e-service</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 2160 Garland Dr, Norton Shores, MI 49441 ☐ First Class U.S. Mail ☐ Certified Mail, Return Receipt Requested</w:t>
      </w:r>
    </w:p>
    <w:p>
      <w:r>
        <w:br w:type="page"/>
      </w:r>
    </w:p>
    <w:p>
      <w:pPr>
        <w:spacing w:line="480" w:lineRule="auto" w:after="0" w:before="0"/>
      </w:pPr>
      <w:r>
        <w:rPr>
          <w:rFonts w:ascii="Times New Roman" w:hAnsi="Times New Roman"/>
          <w:b w:val="0"/>
          <w:i w:val="0"/>
          <w:sz w:val="24"/>
        </w:rPr>
        <w:t>Andrew J. Pigors Date: _______________</w:t>
      </w:r>
    </w:p>
    <w:p>
      <w:r>
        <w:br w:type="page"/>
      </w:r>
    </w:p>
    <w:p>
      <w:pPr>
        <w:spacing w:line="480" w:lineRule="auto" w:after="0" w:before="0"/>
      </w:pPr>
      <w:r>
        <w:rPr>
          <w:rFonts w:ascii="Times New Roman" w:hAnsi="Times New Roman"/>
          <w:b w:val="0"/>
          <w:i/>
          <w:sz w:val="24"/>
        </w:rPr>
        <w:t>End of Motion</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