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 (fka PIGORS),</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___________________________________________/</w:t>
      </w:r>
    </w:p>
    <w:p>
      <w:r>
        <w:br w:type="page"/>
      </w:r>
    </w:p>
    <w:p>
      <w:pPr>
        <w:spacing w:line="480" w:lineRule="auto" w:after="240" w:before="0"/>
        <w:jc w:val="center"/>
      </w:pPr>
      <w:r>
        <w:rPr>
          <w:rFonts w:ascii="Times New Roman" w:hAnsi="Times New Roman"/>
          <w:b/>
          <w:i w:val="0"/>
          <w:sz w:val="24"/>
        </w:rPr>
        <w:t>PLAINTIFF'S MOTION TO DISQUALIFY THE HONORABLE JENNY L. McNEILL</w:t>
      </w:r>
    </w:p>
    <w:p>
      <w:pPr>
        <w:pStyle w:val="Heading2"/>
      </w:pPr>
      <w:r>
        <w:rPr>
          <w:rFonts w:ascii="Times New Roman" w:hAnsi="Times New Roman"/>
        </w:rPr>
        <w:t>Filed Pursuant to MCR 2.003(D)</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MCR 2.113 COMPLIANCE:</w:t>
      </w:r>
      <w:r>
        <w:rPr>
          <w:rFonts w:ascii="Times New Roman" w:hAnsi="Times New Roman"/>
          <w:b w:val="0"/>
          <w:i w:val="0"/>
          <w:sz w:val="24"/>
        </w:rPr>
        <w:t xml:space="preserve"> 8.5" × 11" paper | 1-inch margins | 12-point proportional serif font | Double-spaced | Sequential paragraph numbering.</w:t>
      </w:r>
    </w:p>
    <w:p>
      <w:r>
        <w:br w:type="page"/>
      </w:r>
    </w:p>
    <w:p>
      <w:pPr>
        <w:spacing w:line="480" w:lineRule="auto" w:after="240" w:before="0"/>
        <w:jc w:val="center"/>
      </w:pPr>
      <w:r>
        <w:rPr>
          <w:rFonts w:ascii="Times New Roman" w:hAnsi="Times New Roman"/>
          <w:b/>
          <w:i w:val="0"/>
          <w:sz w:val="24"/>
        </w:rPr>
        <w:t>PART I: MOTION</w:t>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and respectfully moves for the disqualification of the Honorable Jenny L. McNeill from all further proceedings in this matter pursuant to MCR 2.003(C)(1)(a) and (b), and in support thereof states as follows:</w:t>
      </w:r>
    </w:p>
    <w:p>
      <w:pPr>
        <w:pStyle w:val="Heading2"/>
      </w:pPr>
      <w:r>
        <w:rPr>
          <w:rFonts w:ascii="Times New Roman" w:hAnsi="Times New Roman"/>
        </w:rPr>
        <w:t>A. Grounds for Disqualification</w:t>
      </w:r>
    </w:p>
    <w:p>
      <w:pPr>
        <w:spacing w:line="480" w:lineRule="auto" w:after="0" w:before="0"/>
      </w:pPr>
      <w:r>
        <w:rPr>
          <w:rFonts w:ascii="Times New Roman" w:hAnsi="Times New Roman"/>
          <w:b/>
          <w:sz w:val="24"/>
        </w:rPr>
        <w:t xml:space="preserve">1. </w:t>
      </w:r>
      <w:r>
        <w:rPr>
          <w:rFonts w:ascii="Times New Roman" w:hAnsi="Times New Roman"/>
          <w:b w:val="0"/>
          <w:i w:val="0"/>
          <w:sz w:val="24"/>
        </w:rPr>
        <w:t>MCR 2.003(C)(1) provides that a judge is disqualified when the judge: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w:t>
      </w:r>
      <w:r>
        <w:rPr>
          <w:rFonts w:ascii="Times New Roman" w:hAnsi="Times New Roman"/>
          <w:b w:val="0"/>
          <w:i w:val="0"/>
          <w:sz w:val="24"/>
        </w:rPr>
        <w:t xml:space="preserve"> Is biased or prejudiced for or against a party or attorney; &gt; &gt; </w:t>
      </w:r>
      <w:r>
        <w:rPr>
          <w:rFonts w:ascii="Times New Roman" w:hAnsi="Times New Roman"/>
          <w:b/>
          <w:i w:val="0"/>
          <w:sz w:val="24"/>
        </w:rPr>
        <w:t>(b)</w:t>
      </w:r>
      <w:r>
        <w:rPr>
          <w:rFonts w:ascii="Times New Roman" w:hAnsi="Times New Roman"/>
          <w:b w:val="0"/>
          <w:i w:val="0"/>
          <w:sz w:val="24"/>
        </w:rPr>
        <w:t xml:space="preserve"> Has personal knowledge of disputed evidentiary facts concerning the proceeding.</w:t>
      </w:r>
    </w:p>
    <w:p>
      <w:pPr>
        <w:spacing w:line="480" w:lineRule="auto" w:after="0" w:before="0"/>
      </w:pPr>
      <w:r>
        <w:rPr>
          <w:rFonts w:ascii="Times New Roman" w:hAnsi="Times New Roman"/>
          <w:b/>
          <w:sz w:val="24"/>
        </w:rPr>
        <w:t xml:space="preserve">2. </w:t>
      </w:r>
      <w:r>
        <w:rPr>
          <w:rFonts w:ascii="Times New Roman" w:hAnsi="Times New Roman"/>
          <w:b w:val="0"/>
          <w:i w:val="0"/>
          <w:sz w:val="24"/>
        </w:rPr>
        <w:t>Plaintiff asserts both grounds (a) and (b) based on the pattern of conduct documented below.</w:t>
      </w:r>
    </w:p>
    <w:p>
      <w:pPr>
        <w:pStyle w:val="Heading2"/>
      </w:pPr>
      <w:r>
        <w:rPr>
          <w:rFonts w:ascii="Times New Roman" w:hAnsi="Times New Roman"/>
        </w:rPr>
        <w:t>B. Pattern of Actual Bias — MCR 2.003(C)(1)(a)</w:t>
      </w:r>
    </w:p>
    <w:p>
      <w:pPr>
        <w:pStyle w:val="Heading3"/>
      </w:pPr>
      <w:r>
        <w:rPr>
          <w:rFonts w:ascii="Times New Roman" w:hAnsi="Times New Roman"/>
        </w:rPr>
        <w:t>(i) Ex Parte Handling of Evidence in Violation of Canon 3(A)(4)</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On multiple occasions, Judge McNeill received and considered evidence </w:t>
      </w:r>
      <w:r>
        <w:rPr>
          <w:rFonts w:ascii="Times New Roman" w:hAnsi="Times New Roman"/>
          <w:b/>
          <w:i w:val="0"/>
          <w:sz w:val="24"/>
        </w:rPr>
        <w:t>off the record and ex parte</w:t>
      </w:r>
      <w:r>
        <w:rPr>
          <w:rFonts w:ascii="Times New Roman" w:hAnsi="Times New Roman"/>
          <w:b w:val="0"/>
          <w:i w:val="0"/>
          <w:sz w:val="24"/>
        </w:rPr>
        <w:t>, including but not limited to a USB recording and mental health evaluation materials, in violation of Canon 3(A)(4) of the Michigan Code of Judicial Conduct, which bars ex parte communications on the merits of pending matters except in narrow circumstances inapplicable here.</w:t>
      </w:r>
    </w:p>
    <w:p>
      <w:pPr>
        <w:spacing w:line="480" w:lineRule="auto" w:after="0" w:before="0"/>
      </w:pPr>
      <w:r>
        <w:rPr>
          <w:rFonts w:ascii="Times New Roman" w:hAnsi="Times New Roman"/>
          <w:b/>
          <w:sz w:val="24"/>
        </w:rPr>
        <w:t xml:space="preserve">4. </w:t>
      </w:r>
      <w:r>
        <w:rPr>
          <w:rFonts w:ascii="Times New Roman" w:hAnsi="Times New Roman"/>
          <w:b w:val="0"/>
          <w:i w:val="0"/>
          <w:sz w:val="24"/>
        </w:rPr>
        <w:t>The judicial record contains evidence of ex parte submissions accepted and considered by the court without notice to Father and without the opportunity for Father to examine, challenge, or rebut the evidence. MCR 2.003(C)(1)(b) is triggered whenever a judge obtains personal knowledge of disputed evidentiary facts outside the courtroom proceeding.</w:t>
      </w:r>
    </w:p>
    <w:p>
      <w:pPr>
        <w:pStyle w:val="Heading3"/>
      </w:pPr>
      <w:r>
        <w:rPr>
          <w:rFonts w:ascii="Times New Roman" w:hAnsi="Times New Roman"/>
        </w:rPr>
        <w:t>(ii) Entry of Ex Parte Orders Without Required Procedural Safeguards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On August 8, 2025, Judge McNeill signed </w:t>
      </w:r>
      <w:r>
        <w:rPr>
          <w:rFonts w:ascii="Times New Roman" w:hAnsi="Times New Roman"/>
          <w:b/>
          <w:i w:val="0"/>
          <w:sz w:val="24"/>
        </w:rPr>
        <w:t>five (5) separate ex parte orders</w:t>
      </w:r>
      <w:r>
        <w:rPr>
          <w:rFonts w:ascii="Times New Roman" w:hAnsi="Times New Roman"/>
          <w:b w:val="0"/>
          <w:i w:val="0"/>
          <w:sz w:val="24"/>
        </w:rPr>
        <w:t xml:space="preserve"> on a single day, all without prior notice to Father, based on an </w:t>
      </w:r>
      <w:r>
        <w:rPr>
          <w:rFonts w:ascii="Times New Roman" w:hAnsi="Times New Roman"/>
          <w:b/>
          <w:i w:val="0"/>
          <w:sz w:val="24"/>
        </w:rPr>
        <w:t>unsworn, unverified</w:t>
      </w:r>
      <w:r>
        <w:rPr>
          <w:rFonts w:ascii="Times New Roman" w:hAnsi="Times New Roman"/>
          <w:b w:val="0"/>
          <w:i w:val="0"/>
          <w:sz w:val="24"/>
        </w:rPr>
        <w:t xml:space="preserve"> motion by Defendant. The orders resulted in the </w:t>
      </w:r>
      <w:r>
        <w:rPr>
          <w:rFonts w:ascii="Times New Roman" w:hAnsi="Times New Roman"/>
          <w:b/>
          <w:i w:val="0"/>
          <w:sz w:val="24"/>
        </w:rPr>
        <w:t>complete elimination</w:t>
      </w:r>
      <w:r>
        <w:rPr>
          <w:rFonts w:ascii="Times New Roman" w:hAnsi="Times New Roman"/>
          <w:b w:val="0"/>
          <w:i w:val="0"/>
          <w:sz w:val="24"/>
        </w:rPr>
        <w:t xml:space="preserve"> of Father's parenting time — the most extreme remedy available short of termination of parental rights.</w:t>
      </w:r>
    </w:p>
    <w:p>
      <w:pPr>
        <w:spacing w:line="480" w:lineRule="auto" w:after="0" w:before="0"/>
      </w:pPr>
      <w:r>
        <w:rPr>
          <w:rFonts w:ascii="Times New Roman" w:hAnsi="Times New Roman"/>
          <w:b/>
          <w:sz w:val="24"/>
        </w:rPr>
        <w:t xml:space="preserve">6. </w:t>
      </w:r>
      <w:r>
        <w:rPr>
          <w:rFonts w:ascii="Times New Roman" w:hAnsi="Times New Roman"/>
          <w:b w:val="0"/>
          <w:i w:val="0"/>
          <w:sz w:val="24"/>
        </w:rPr>
        <w:t>The motion did not comply with MCR 3.207(B)(1) (no verification under oath), the orders did not comply with MCR 2.517(A)(1) (no specific findings of fact), and the court did not comply with MCR 3.206(B)(6) (no timely post-deprivation hearing scheduled).</w:t>
      </w:r>
    </w:p>
    <w:p>
      <w:pPr>
        <w:spacing w:line="480" w:lineRule="auto" w:after="0" w:before="0"/>
      </w:pPr>
      <w:r>
        <w:rPr>
          <w:rFonts w:ascii="Times New Roman" w:hAnsi="Times New Roman"/>
          <w:b/>
          <w:sz w:val="24"/>
        </w:rPr>
        <w:t xml:space="preserve">7. </w:t>
      </w:r>
      <w:r>
        <w:rPr>
          <w:rFonts w:ascii="Times New Roman" w:hAnsi="Times New Roman"/>
          <w:b w:val="0"/>
          <w:i w:val="0"/>
          <w:sz w:val="24"/>
        </w:rPr>
        <w:t>A reasonable, objective person would question the impartiality of a judge who signs five ex parte orders on a single day based on an unsworn motion, imposes the most extreme sanction available, and then fails to schedule a timely hearing — all while one party has had no opportunity to be heard.</w:t>
      </w:r>
    </w:p>
    <w:p>
      <w:pPr>
        <w:pStyle w:val="Heading3"/>
      </w:pPr>
      <w:r>
        <w:rPr>
          <w:rFonts w:ascii="Times New Roman" w:hAnsi="Times New Roman"/>
        </w:rPr>
        <w:t>(iii) Refusal to Consider Exculpatory Evidence</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At hearing, Father attempted to present </w:t>
      </w:r>
      <w:r>
        <w:rPr>
          <w:rFonts w:ascii="Times New Roman" w:hAnsi="Times New Roman"/>
          <w:b/>
          <w:i w:val="0"/>
          <w:sz w:val="24"/>
        </w:rPr>
        <w:t>photographs</w:t>
      </w:r>
      <w:r>
        <w:rPr>
          <w:rFonts w:ascii="Times New Roman" w:hAnsi="Times New Roman"/>
          <w:b w:val="0"/>
          <w:i w:val="0"/>
          <w:sz w:val="24"/>
        </w:rPr>
        <w:t xml:space="preserve"> showing L.D.W. happy and healthy during parenting time exchanges. Judge McNeill </w:t>
      </w:r>
      <w:r>
        <w:rPr>
          <w:rFonts w:ascii="Times New Roman" w:hAnsi="Times New Roman"/>
          <w:b/>
          <w:i w:val="0"/>
          <w:sz w:val="24"/>
        </w:rPr>
        <w:t>refused to review</w:t>
      </w:r>
      <w:r>
        <w:rPr>
          <w:rFonts w:ascii="Times New Roman" w:hAnsi="Times New Roman"/>
          <w:b w:val="0"/>
          <w:i w:val="0"/>
          <w:sz w:val="24"/>
        </w:rPr>
        <w:t xml:space="preserve"> this evidence, dismissing it as unnecessary.</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Father also attempted to present his </w:t>
      </w:r>
      <w:r>
        <w:rPr>
          <w:rFonts w:ascii="Times New Roman" w:hAnsi="Times New Roman"/>
          <w:b/>
          <w:i w:val="0"/>
          <w:sz w:val="24"/>
        </w:rPr>
        <w:t>NEGATIVE narcotics screening</w:t>
      </w:r>
      <w:r>
        <w:rPr>
          <w:rFonts w:ascii="Times New Roman" w:hAnsi="Times New Roman"/>
          <w:b w:val="0"/>
          <w:i w:val="0"/>
          <w:sz w:val="24"/>
        </w:rPr>
        <w:t xml:space="preserve"> — directly rebutting Mother's hearsay allegation of "meth use." A neutral judge would, at minimum, consider exculpatory evidence before making the extreme determination to suspend all parenting time. Refusal to consider exculpatory evidence that directly contradicts the sole basis for the challenged orders demonstrates prejudgment.</w:t>
      </w:r>
    </w:p>
    <w:p>
      <w:pPr>
        <w:pStyle w:val="Heading3"/>
      </w:pPr>
      <w:r>
        <w:rPr>
          <w:rFonts w:ascii="Times New Roman" w:hAnsi="Times New Roman"/>
        </w:rPr>
        <w:t>(iv) Characterization of Legal Advocacy as Harassment</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On the record, Judge McNeill stated words to the effect: </w:t>
      </w:r>
      <w:r>
        <w:rPr>
          <w:rFonts w:ascii="Times New Roman" w:hAnsi="Times New Roman"/>
          <w:b w:val="0"/>
          <w:i/>
          <w:sz w:val="24"/>
        </w:rPr>
        <w:t>"The court finds that this continued pattern of questioning is meant to harass the defendant."</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Father's "continued pattern of questioning" was the exercise of his </w:t>
      </w:r>
      <w:r>
        <w:rPr>
          <w:rFonts w:ascii="Times New Roman" w:hAnsi="Times New Roman"/>
          <w:b/>
          <w:i w:val="0"/>
          <w:sz w:val="24"/>
        </w:rPr>
        <w:t>right to cross-examine adverse witnesses</w:t>
      </w:r>
      <w:r>
        <w:rPr>
          <w:rFonts w:ascii="Times New Roman" w:hAnsi="Times New Roman"/>
          <w:b w:val="0"/>
          <w:i w:val="0"/>
          <w:sz w:val="24"/>
        </w:rPr>
        <w:t xml:space="preserve"> — a fundamental component of due process guaranteed by the Fourteenth Amendment and Const 1963, art 1, § 17. Characterizing a pro se litigant's exercise of cross-examination rights as "harassment" reveals a predisposition against Father's right to present his case and tests credibility.</w:t>
      </w:r>
    </w:p>
    <w:p>
      <w:pPr>
        <w:spacing w:line="480" w:lineRule="auto" w:after="0" w:before="0"/>
      </w:pPr>
      <w:r>
        <w:rPr>
          <w:rFonts w:ascii="Times New Roman" w:hAnsi="Times New Roman"/>
          <w:b/>
          <w:sz w:val="24"/>
        </w:rPr>
        <w:t xml:space="preserve">12. </w:t>
      </w:r>
      <w:r>
        <w:rPr>
          <w:rFonts w:ascii="Times New Roman" w:hAnsi="Times New Roman"/>
          <w:b w:val="0"/>
          <w:i/>
          <w:sz w:val="24"/>
        </w:rPr>
        <w:t>See Lombardo v. Lombardo</w:t>
      </w:r>
      <w:r>
        <w:rPr>
          <w:rFonts w:ascii="Times New Roman" w:hAnsi="Times New Roman"/>
          <w:b w:val="0"/>
          <w:i w:val="0"/>
          <w:sz w:val="24"/>
        </w:rPr>
        <w:t>, 202 Mich App 151, 159; 507 NW2d 788 (1993) ("A judge's bias or prejudice may be shown by the judge's conduct during proceedings.").</w:t>
      </w:r>
    </w:p>
    <w:p>
      <w:pPr>
        <w:pStyle w:val="Heading3"/>
      </w:pPr>
      <w:r>
        <w:rPr>
          <w:rFonts w:ascii="Times New Roman" w:hAnsi="Times New Roman"/>
        </w:rPr>
        <w:t>(v) Systematic One-Sided Credibility Determinations</w:t>
      </w:r>
    </w:p>
    <w:p>
      <w:pPr>
        <w:spacing w:line="480" w:lineRule="auto" w:after="0" w:before="0"/>
      </w:pPr>
      <w:r>
        <w:rPr>
          <w:rFonts w:ascii="Times New Roman" w:hAnsi="Times New Roman"/>
          <w:b/>
          <w:sz w:val="24"/>
        </w:rPr>
        <w:t xml:space="preserve">13. </w:t>
      </w:r>
      <w:r>
        <w:rPr>
          <w:rFonts w:ascii="Times New Roman" w:hAnsi="Times New Roman"/>
          <w:b w:val="0"/>
          <w:i w:val="0"/>
          <w:sz w:val="24"/>
        </w:rPr>
        <w:t>The pattern across the entire case demonstrates systematic crediting of Mother's claims while dismissing Father's evidence: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Mother's Submission</w:t>
            </w:r>
          </w:p>
        </w:tc>
        <w:tc>
          <w:tcPr>
            <w:tcW w:type="dxa" w:w="2340"/>
          </w:tcPr>
          <w:p>
            <w:pPr>
              <w:spacing w:line="240" w:lineRule="auto"/>
            </w:pPr>
            <w:r/>
            <w:r>
              <w:rPr>
                <w:rFonts w:ascii="Times New Roman" w:hAnsi="Times New Roman"/>
                <w:b/>
                <w:sz w:val="24"/>
              </w:rPr>
              <w:t>Court Action</w:t>
            </w:r>
          </w:p>
        </w:tc>
        <w:tc>
          <w:tcPr>
            <w:tcW w:type="dxa" w:w="2340"/>
          </w:tcPr>
          <w:p>
            <w:pPr>
              <w:spacing w:line="240" w:lineRule="auto"/>
            </w:pPr>
            <w:r/>
            <w:r>
              <w:rPr>
                <w:rFonts w:ascii="Times New Roman" w:hAnsi="Times New Roman"/>
                <w:b/>
                <w:sz w:val="24"/>
              </w:rPr>
              <w:t>Father's Submission</w:t>
            </w:r>
          </w:p>
        </w:tc>
        <w:tc>
          <w:tcPr>
            <w:tcW w:type="dxa" w:w="2340"/>
          </w:tcPr>
          <w:p>
            <w:pPr>
              <w:spacing w:line="240" w:lineRule="auto"/>
            </w:pPr>
            <w:r/>
            <w:r>
              <w:rPr>
                <w:rFonts w:ascii="Times New Roman" w:hAnsi="Times New Roman"/>
                <w:b/>
                <w:sz w:val="24"/>
              </w:rPr>
              <w:t>Court Action</w:t>
            </w:r>
          </w:p>
        </w:tc>
      </w:tr>
      <w:tr>
        <w:tc>
          <w:tcPr>
            <w:tcW w:type="dxa" w:w="2340"/>
          </w:tcPr>
          <w:p>
            <w:pPr>
              <w:spacing w:line="240" w:lineRule="auto"/>
            </w:pPr>
            <w:r/>
            <w:r>
              <w:rPr>
                <w:rFonts w:ascii="Times New Roman" w:hAnsi="Times New Roman"/>
                <w:b w:val="0"/>
                <w:i w:val="0"/>
                <w:sz w:val="24"/>
              </w:rPr>
              <w:t>Unsworn hearsay allegations</w:t>
            </w:r>
          </w:p>
        </w:tc>
        <w:tc>
          <w:tcPr>
            <w:tcW w:type="dxa" w:w="2340"/>
          </w:tcPr>
          <w:p>
            <w:pPr>
              <w:spacing w:line="240" w:lineRule="auto"/>
            </w:pPr>
            <w:r/>
            <w:r>
              <w:rPr>
                <w:rFonts w:ascii="Times New Roman" w:hAnsi="Times New Roman"/>
                <w:b w:val="0"/>
                <w:i w:val="0"/>
                <w:sz w:val="24"/>
              </w:rPr>
              <w:t>Accepted, ex parte orders signed</w:t>
            </w:r>
          </w:p>
        </w:tc>
        <w:tc>
          <w:tcPr>
            <w:tcW w:type="dxa" w:w="2340"/>
          </w:tcPr>
          <w:p>
            <w:pPr>
              <w:spacing w:line="240" w:lineRule="auto"/>
            </w:pPr>
            <w:r/>
            <w:r>
              <w:rPr>
                <w:rFonts w:ascii="Times New Roman" w:hAnsi="Times New Roman"/>
                <w:b w:val="0"/>
                <w:i w:val="0"/>
                <w:sz w:val="24"/>
              </w:rPr>
              <w:t>NEGATIVE narcotics screen</w:t>
            </w:r>
          </w:p>
        </w:tc>
        <w:tc>
          <w:tcPr>
            <w:tcW w:type="dxa" w:w="2340"/>
          </w:tcPr>
          <w:p>
            <w:pPr>
              <w:spacing w:line="240" w:lineRule="auto"/>
            </w:pPr>
            <w:r/>
            <w:r>
              <w:rPr>
                <w:rFonts w:ascii="Times New Roman" w:hAnsi="Times New Roman"/>
                <w:b w:val="0"/>
                <w:i w:val="0"/>
                <w:sz w:val="24"/>
              </w:rPr>
              <w:t>Refused to consider</w:t>
            </w:r>
          </w:p>
        </w:tc>
      </w:tr>
      <w:tr>
        <w:tc>
          <w:tcPr>
            <w:tcW w:type="dxa" w:w="2340"/>
          </w:tcPr>
          <w:p>
            <w:pPr>
              <w:spacing w:line="240" w:lineRule="auto"/>
            </w:pPr>
            <w:r/>
            <w:r>
              <w:rPr>
                <w:rFonts w:ascii="Times New Roman" w:hAnsi="Times New Roman"/>
                <w:b w:val="0"/>
                <w:i w:val="0"/>
                <w:sz w:val="24"/>
              </w:rPr>
              <w:t>Anonymous "friend" concerns</w:t>
            </w:r>
          </w:p>
        </w:tc>
        <w:tc>
          <w:tcPr>
            <w:tcW w:type="dxa" w:w="2340"/>
          </w:tcPr>
          <w:p>
            <w:pPr>
              <w:spacing w:line="240" w:lineRule="auto"/>
            </w:pPr>
            <w:r/>
            <w:r>
              <w:rPr>
                <w:rFonts w:ascii="Times New Roman" w:hAnsi="Times New Roman"/>
                <w:b w:val="0"/>
                <w:i w:val="0"/>
                <w:sz w:val="24"/>
              </w:rPr>
              <w:t>Credited as basis for orders</w:t>
            </w:r>
          </w:p>
        </w:tc>
        <w:tc>
          <w:tcPr>
            <w:tcW w:type="dxa" w:w="2340"/>
          </w:tcPr>
          <w:p>
            <w:pPr>
              <w:spacing w:line="240" w:lineRule="auto"/>
            </w:pPr>
            <w:r/>
            <w:r>
              <w:rPr>
                <w:rFonts w:ascii="Times New Roman" w:hAnsi="Times New Roman"/>
                <w:b w:val="0"/>
                <w:i w:val="0"/>
                <w:sz w:val="24"/>
              </w:rPr>
              <w:t>Photographs of healthy child</w:t>
            </w:r>
          </w:p>
        </w:tc>
        <w:tc>
          <w:tcPr>
            <w:tcW w:type="dxa" w:w="2340"/>
          </w:tcPr>
          <w:p>
            <w:pPr>
              <w:spacing w:line="240" w:lineRule="auto"/>
            </w:pPr>
            <w:r/>
            <w:r>
              <w:rPr>
                <w:rFonts w:ascii="Times New Roman" w:hAnsi="Times New Roman"/>
                <w:b w:val="0"/>
                <w:i w:val="0"/>
                <w:sz w:val="24"/>
              </w:rPr>
              <w:t>Refused to review</w:t>
            </w:r>
          </w:p>
        </w:tc>
      </w:tr>
      <w:tr>
        <w:tc>
          <w:tcPr>
            <w:tcW w:type="dxa" w:w="2340"/>
          </w:tcPr>
          <w:p>
            <w:pPr>
              <w:spacing w:line="240" w:lineRule="auto"/>
            </w:pPr>
            <w:r/>
            <w:r>
              <w:rPr>
                <w:rFonts w:ascii="Times New Roman" w:hAnsi="Times New Roman"/>
                <w:b w:val="0"/>
                <w:i w:val="0"/>
                <w:sz w:val="24"/>
              </w:rPr>
              <w:t>Unverified "emergency" motion</w:t>
            </w:r>
          </w:p>
        </w:tc>
        <w:tc>
          <w:tcPr>
            <w:tcW w:type="dxa" w:w="2340"/>
          </w:tcPr>
          <w:p>
            <w:pPr>
              <w:spacing w:line="240" w:lineRule="auto"/>
            </w:pPr>
            <w:r/>
            <w:r>
              <w:rPr>
                <w:rFonts w:ascii="Times New Roman" w:hAnsi="Times New Roman"/>
                <w:b w:val="0"/>
                <w:i w:val="0"/>
                <w:sz w:val="24"/>
              </w:rPr>
              <w:t>Five orders signed same day</w:t>
            </w:r>
          </w:p>
        </w:tc>
        <w:tc>
          <w:tcPr>
            <w:tcW w:type="dxa" w:w="2340"/>
          </w:tcPr>
          <w:p>
            <w:pPr>
              <w:spacing w:line="240" w:lineRule="auto"/>
            </w:pPr>
            <w:r/>
            <w:r>
              <w:rPr>
                <w:rFonts w:ascii="Times New Roman" w:hAnsi="Times New Roman"/>
                <w:b w:val="0"/>
                <w:i w:val="0"/>
                <w:sz w:val="24"/>
              </w:rPr>
              <w:t>Motion to Restore Parenting Time</w:t>
            </w:r>
          </w:p>
        </w:tc>
        <w:tc>
          <w:tcPr>
            <w:tcW w:type="dxa" w:w="2340"/>
          </w:tcPr>
          <w:p>
            <w:pPr>
              <w:spacing w:line="240" w:lineRule="auto"/>
            </w:pPr>
            <w:r/>
            <w:r>
              <w:rPr>
                <w:rFonts w:ascii="Times New Roman" w:hAnsi="Times New Roman"/>
                <w:b w:val="0"/>
                <w:i w:val="0"/>
                <w:sz w:val="24"/>
              </w:rPr>
              <w:t>No hearing scheduled for 329+ days</w:t>
            </w:r>
          </w:p>
        </w:tc>
      </w:tr>
      <w:tr>
        <w:tc>
          <w:tcPr>
            <w:tcW w:type="dxa" w:w="2340"/>
          </w:tcPr>
          <w:p>
            <w:pPr>
              <w:spacing w:line="240" w:lineRule="auto"/>
            </w:pPr>
            <w:r/>
            <w:r>
              <w:rPr>
                <w:rFonts w:ascii="Times New Roman" w:hAnsi="Times New Roman"/>
                <w:b w:val="0"/>
                <w:i w:val="0"/>
                <w:sz w:val="24"/>
              </w:rPr>
              <w:t>Claims of danger</w:t>
            </w:r>
          </w:p>
        </w:tc>
        <w:tc>
          <w:tcPr>
            <w:tcW w:type="dxa" w:w="2340"/>
          </w:tcPr>
          <w:p>
            <w:pPr>
              <w:spacing w:line="240" w:lineRule="auto"/>
            </w:pPr>
            <w:r/>
            <w:r>
              <w:rPr>
                <w:rFonts w:ascii="Times New Roman" w:hAnsi="Times New Roman"/>
                <w:b w:val="0"/>
                <w:i w:val="0"/>
                <w:sz w:val="24"/>
              </w:rPr>
              <w:t>Taken at face value</w:t>
            </w:r>
          </w:p>
        </w:tc>
        <w:tc>
          <w:tcPr>
            <w:tcW w:type="dxa" w:w="2340"/>
          </w:tcPr>
          <w:p>
            <w:pPr>
              <w:spacing w:line="240" w:lineRule="auto"/>
            </w:pPr>
            <w:r/>
            <w:r>
              <w:rPr>
                <w:rFonts w:ascii="Times New Roman" w:hAnsi="Times New Roman"/>
                <w:b w:val="0"/>
                <w:i w:val="0"/>
                <w:sz w:val="24"/>
              </w:rPr>
              <w:t>Detailed written objections</w:t>
            </w:r>
          </w:p>
        </w:tc>
        <w:tc>
          <w:tcPr>
            <w:tcW w:type="dxa" w:w="2340"/>
          </w:tcPr>
          <w:p>
            <w:pPr>
              <w:spacing w:line="240" w:lineRule="auto"/>
            </w:pPr>
            <w:r/>
            <w:r>
              <w:rPr>
                <w:rFonts w:ascii="Times New Roman" w:hAnsi="Times New Roman"/>
                <w:b w:val="0"/>
                <w:i w:val="0"/>
                <w:sz w:val="24"/>
              </w:rPr>
              <w:t>Characterized as "frivolous"</w:t>
            </w:r>
          </w:p>
        </w:tc>
      </w:tr>
    </w:tbl>
    <w:p>
      <w:pPr>
        <w:spacing w:line="480" w:lineRule="auto" w:after="0" w:before="0"/>
      </w:pPr>
      <w:r>
        <w:rPr>
          <w:rFonts w:ascii="Times New Roman" w:hAnsi="Times New Roman"/>
          <w:b/>
          <w:sz w:val="24"/>
        </w:rPr>
        <w:t xml:space="preserve">14. </w:t>
      </w:r>
      <w:r>
        <w:rPr>
          <w:rFonts w:ascii="Times New Roman" w:hAnsi="Times New Roman"/>
          <w:b w:val="0"/>
          <w:i w:val="0"/>
          <w:sz w:val="24"/>
        </w:rPr>
        <w:t>This is not a case of close calls or balanced weighing of evidence. It is a pattern of predetermined outcomes in which Mother's allegations are accepted without scrutiny and Father's rebuttals are dismissed without consideration. A reasonable, objective person would conclude that the outcome was decided before the evidence was weighed.</w:t>
      </w:r>
    </w:p>
    <w:p>
      <w:pPr>
        <w:pStyle w:val="Heading3"/>
      </w:pPr>
      <w:r>
        <w:rPr>
          <w:rFonts w:ascii="Times New Roman" w:hAnsi="Times New Roman"/>
        </w:rPr>
        <w:t>(vi) Facilitation of Parental Alienation</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Judge McNeill's conduct has directly facilitated a </w:t>
      </w:r>
      <w:r>
        <w:rPr>
          <w:rFonts w:ascii="Times New Roman" w:hAnsi="Times New Roman"/>
          <w:b/>
          <w:i w:val="0"/>
          <w:sz w:val="24"/>
        </w:rPr>
        <w:t>parental alienation</w:t>
      </w:r>
      <w:r>
        <w:rPr>
          <w:rFonts w:ascii="Times New Roman" w:hAnsi="Times New Roman"/>
          <w:b w:val="0"/>
          <w:i w:val="0"/>
          <w:sz w:val="24"/>
        </w:rPr>
        <w:t xml:space="preserve"> campaign by Defendant Emily Watson — who has been employed by the </w:t>
      </w:r>
      <w:r>
        <w:rPr>
          <w:rFonts w:ascii="Times New Roman" w:hAnsi="Times New Roman"/>
          <w:b/>
          <w:i w:val="0"/>
          <w:sz w:val="24"/>
        </w:rPr>
        <w:t>Kent County Prosecutor's Office, Family Court Division</w:t>
      </w:r>
      <w:r>
        <w:rPr>
          <w:rFonts w:ascii="Times New Roman" w:hAnsi="Times New Roman"/>
          <w:b w:val="0"/>
          <w:i w:val="0"/>
          <w:sz w:val="24"/>
        </w:rPr>
        <w:t xml:space="preserve">, as a caseworker for nine (9) years. MCL 722.23(j) requires courts to evaluate each parent's willingness to "facilitate and encourage a close and continuing parent-child relationship between the child and the other parent." </w:t>
      </w:r>
      <w:r>
        <w:rPr>
          <w:rFonts w:ascii="Times New Roman" w:hAnsi="Times New Roman"/>
          <w:b w:val="0"/>
          <w:i/>
          <w:sz w:val="24"/>
        </w:rPr>
        <w:t>Harvey v Harvey</w:t>
      </w:r>
      <w:r>
        <w:rPr>
          <w:rFonts w:ascii="Times New Roman" w:hAnsi="Times New Roman"/>
          <w:b w:val="0"/>
          <w:i w:val="0"/>
          <w:sz w:val="24"/>
        </w:rPr>
        <w:t xml:space="preserve">, 470 Mich 186, 192 (2004). Rather than enforcing MCL 722.27a(9)'s </w:t>
      </w:r>
      <w:r>
        <w:rPr>
          <w:rFonts w:ascii="Times New Roman" w:hAnsi="Times New Roman"/>
          <w:b/>
          <w:i w:val="0"/>
          <w:sz w:val="24"/>
        </w:rPr>
        <w:t>mandatory</w:t>
      </w:r>
      <w:r>
        <w:rPr>
          <w:rFonts w:ascii="Times New Roman" w:hAnsi="Times New Roman"/>
          <w:b w:val="0"/>
          <w:i w:val="0"/>
          <w:sz w:val="24"/>
        </w:rPr>
        <w:t xml:space="preserve"> remedies for Defendant's documented withholding of parenting time beginning March 26, 2024, Judge McNeill rewarded the alienation by suspending Father's parenting time entirely. After </w:t>
      </w:r>
      <w:r>
        <w:rPr>
          <w:rFonts w:ascii="Times New Roman" w:hAnsi="Times New Roman"/>
          <w:b/>
          <w:i w:val="0"/>
          <w:sz w:val="24"/>
        </w:rPr>
        <w:t>329+ days</w:t>
      </w:r>
      <w:r>
        <w:rPr>
          <w:rFonts w:ascii="Times New Roman" w:hAnsi="Times New Roman"/>
          <w:b w:val="0"/>
          <w:i w:val="0"/>
          <w:sz w:val="24"/>
        </w:rPr>
        <w:t xml:space="preserve"> of total parent-child separation, the court's failure to act constitutes judicial facilitation of parental alienation — conduct that undermines the appearance of impartiality required by Canon 2.</w:t>
      </w:r>
    </w:p>
    <w:p>
      <w:pPr>
        <w:pStyle w:val="Heading3"/>
      </w:pPr>
      <w:r>
        <w:rPr>
          <w:rFonts w:ascii="Times New Roman" w:hAnsi="Times New Roman"/>
        </w:rPr>
        <w:t>(vii) Quantified Pattern from the Record</w:t>
      </w:r>
    </w:p>
    <w:p>
      <w:pPr>
        <w:spacing w:line="480" w:lineRule="auto" w:after="0" w:before="0"/>
      </w:pPr>
      <w:r>
        <w:rPr>
          <w:rFonts w:ascii="Times New Roman" w:hAnsi="Times New Roman"/>
          <w:b/>
          <w:sz w:val="24"/>
        </w:rPr>
        <w:t xml:space="preserve">16. </w:t>
      </w:r>
      <w:r>
        <w:rPr>
          <w:rFonts w:ascii="Times New Roman" w:hAnsi="Times New Roman"/>
          <w:b w:val="0"/>
          <w:i w:val="0"/>
          <w:sz w:val="24"/>
        </w:rPr>
        <w:t>Analysis of the case record documented in the litigation database reveals: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6,512 court impeachment items</w:t>
      </w:r>
      <w:r>
        <w:rPr>
          <w:rFonts w:ascii="Times New Roman" w:hAnsi="Times New Roman"/>
          <w:b w:val="0"/>
          <w:i w:val="0"/>
          <w:sz w:val="24"/>
        </w:rPr>
        <w:t xml:space="preserve"> documenting judicial conduct patterns inconsistent with neutrality (court speaker entries showing ex parte handling, unsupported findings, procedural shortcutting) - </w:t>
      </w:r>
      <w:r>
        <w:rPr>
          <w:rFonts w:ascii="Times New Roman" w:hAnsi="Times New Roman"/>
          <w:b/>
          <w:i w:val="0"/>
          <w:sz w:val="24"/>
        </w:rPr>
        <w:t>32 evidence entries</w:t>
      </w:r>
      <w:r>
        <w:rPr>
          <w:rFonts w:ascii="Times New Roman" w:hAnsi="Times New Roman"/>
          <w:b w:val="0"/>
          <w:i w:val="0"/>
          <w:sz w:val="24"/>
        </w:rPr>
        <w:t xml:space="preserve"> classified as DUE_PROCESS_VIOLATION, 20 attributed to COURT action - </w:t>
      </w:r>
      <w:r>
        <w:rPr>
          <w:rFonts w:ascii="Times New Roman" w:hAnsi="Times New Roman"/>
          <w:b/>
          <w:i w:val="0"/>
          <w:sz w:val="24"/>
        </w:rPr>
        <w:t>15 entries</w:t>
      </w:r>
      <w:r>
        <w:rPr>
          <w:rFonts w:ascii="Times New Roman" w:hAnsi="Times New Roman"/>
          <w:b w:val="0"/>
          <w:i w:val="0"/>
          <w:sz w:val="24"/>
        </w:rPr>
        <w:t xml:space="preserve"> classified as IMPEACHMENT_MATERIAL attributed to COURT - Multiple documented instances of CANON 3(A)(4) violation indicators - Benchbook violation entries documenting failures to follow required procedures</w:t>
      </w:r>
    </w:p>
    <w:p>
      <w:pPr>
        <w:pStyle w:val="Heading2"/>
      </w:pPr>
      <w:r>
        <w:rPr>
          <w:rFonts w:ascii="Times New Roman" w:hAnsi="Times New Roman"/>
        </w:rPr>
        <w:t>C. Personal Knowledge of Disputed Facts — MCR 2.003(C)(1)(b)</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By receiving and considering evidence off the record and ex parte — including the USB recording and mental health evaluation — Judge McNeill acquired </w:t>
      </w:r>
      <w:r>
        <w:rPr>
          <w:rFonts w:ascii="Times New Roman" w:hAnsi="Times New Roman"/>
          <w:b/>
          <w:i w:val="0"/>
          <w:sz w:val="24"/>
        </w:rPr>
        <w:t>personal knowledge of disputed evidentiary facts</w:t>
      </w:r>
      <w:r>
        <w:rPr>
          <w:rFonts w:ascii="Times New Roman" w:hAnsi="Times New Roman"/>
          <w:b w:val="0"/>
          <w:i w:val="0"/>
          <w:sz w:val="24"/>
        </w:rPr>
        <w:t xml:space="preserve"> outside the trial or hearing process. MCR 2.003(C)(1)(b) requires disqualification when a judge has such knowledge.</w:t>
      </w:r>
    </w:p>
    <w:p>
      <w:pPr>
        <w:spacing w:line="480" w:lineRule="auto" w:after="0" w:before="0"/>
      </w:pPr>
      <w:r>
        <w:rPr>
          <w:rFonts w:ascii="Times New Roman" w:hAnsi="Times New Roman"/>
          <w:b/>
          <w:sz w:val="24"/>
        </w:rPr>
        <w:t xml:space="preserve">17. </w:t>
      </w:r>
      <w:r>
        <w:rPr>
          <w:rFonts w:ascii="Times New Roman" w:hAnsi="Times New Roman"/>
          <w:b w:val="0"/>
          <w:i w:val="0"/>
          <w:sz w:val="24"/>
        </w:rPr>
        <w:t>This personal knowledge cannot be "unlearned." Once a judge has personally reviewed disputed evidence ex parte, the judge's ability to make impartial credibility determinations and factual findings is irremediably compromised.</w:t>
      </w:r>
    </w:p>
    <w:p>
      <w:pPr>
        <w:pStyle w:val="Heading2"/>
      </w:pPr>
      <w:r>
        <w:rPr>
          <w:rFonts w:ascii="Times New Roman" w:hAnsi="Times New Roman"/>
        </w:rPr>
        <w:t>D. Legal Standard for Disqualification</w:t>
      </w:r>
    </w:p>
    <w:p>
      <w:pPr>
        <w:spacing w:line="480" w:lineRule="auto" w:after="0" w:before="0"/>
      </w:pPr>
      <w:r>
        <w:rPr>
          <w:rFonts w:ascii="Times New Roman" w:hAnsi="Times New Roman"/>
          <w:b/>
          <w:sz w:val="24"/>
        </w:rPr>
        <w:t xml:space="preserve">18. </w:t>
      </w:r>
      <w:r>
        <w:rPr>
          <w:rFonts w:ascii="Times New Roman" w:hAnsi="Times New Roman"/>
          <w:b w:val="0"/>
          <w:i w:val="0"/>
          <w:sz w:val="24"/>
        </w:rPr>
        <w:t xml:space="preserve">The test for disqualification under MCR 2.003(C)(1)(a) is whether a reasonable, objective person, knowing the facts, would have a reasonable basis to question the judge's impartiality. </w:t>
      </w:r>
      <w:r>
        <w:rPr>
          <w:rFonts w:ascii="Times New Roman" w:hAnsi="Times New Roman"/>
          <w:b w:val="0"/>
          <w:i/>
          <w:sz w:val="24"/>
        </w:rPr>
        <w:t>Armstrong v. Ypsilanti Charter Twp</w:t>
      </w:r>
      <w:r>
        <w:rPr>
          <w:rFonts w:ascii="Times New Roman" w:hAnsi="Times New Roman"/>
          <w:b w:val="0"/>
          <w:i w:val="0"/>
          <w:sz w:val="24"/>
        </w:rPr>
        <w:t>, 248 Mich App 573, 597; 640 NW2d 321 (2001).</w:t>
      </w:r>
    </w:p>
    <w:p>
      <w:pPr>
        <w:spacing w:line="480" w:lineRule="auto" w:after="0" w:before="0"/>
      </w:pPr>
      <w:r>
        <w:rPr>
          <w:rFonts w:ascii="Times New Roman" w:hAnsi="Times New Roman"/>
          <w:b/>
          <w:sz w:val="24"/>
        </w:rPr>
        <w:t xml:space="preserve">19. </w:t>
      </w:r>
      <w:r>
        <w:rPr>
          <w:rFonts w:ascii="Times New Roman" w:hAnsi="Times New Roman"/>
          <w:b w:val="0"/>
          <w:i w:val="0"/>
          <w:sz w:val="24"/>
        </w:rPr>
        <w:t>The Michigan Judicial Tenure Commission Standards provide additional guidance. Canon 2 requires judges to "avoid impropriety and the appearance of impropriety." Canon 3(A)(4) bars ex parte communications. Canon 3(A)(5) requires that judges "accord to every person who has a legal interest in a proceeding . . . the right to be heard according to law."</w:t>
      </w:r>
    </w:p>
    <w:p>
      <w:pPr>
        <w:spacing w:line="480" w:lineRule="auto" w:after="0" w:before="0"/>
      </w:pPr>
      <w:r>
        <w:rPr>
          <w:rFonts w:ascii="Times New Roman" w:hAnsi="Times New Roman"/>
          <w:b/>
          <w:sz w:val="24"/>
        </w:rPr>
        <w:t xml:space="preserve">20. </w:t>
      </w:r>
      <w:r>
        <w:rPr>
          <w:rFonts w:ascii="Times New Roman" w:hAnsi="Times New Roman"/>
          <w:b w:val="0"/>
          <w:i w:val="0"/>
          <w:sz w:val="24"/>
        </w:rPr>
        <w:t>Each incident documented above independently raises a reasonable question about impartiality. Cumulatively, they compel disqualification.</w:t>
      </w:r>
    </w:p>
    <w:p>
      <w:r>
        <w:br w:type="page"/>
      </w:r>
    </w:p>
    <w:p>
      <w:pPr>
        <w:spacing w:line="480" w:lineRule="auto" w:after="240" w:before="0"/>
        <w:jc w:val="center"/>
      </w:pPr>
      <w:r>
        <w:rPr>
          <w:rFonts w:ascii="Times New Roman" w:hAnsi="Times New Roman"/>
          <w:b/>
          <w:i w:val="0"/>
          <w:sz w:val="24"/>
        </w:rPr>
        <w:t>PART II: PRAYER FOR RELIEF</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respectfully requests that this Honorable Court:</w:t>
      </w:r>
    </w:p>
    <w:p>
      <w:pPr>
        <w:spacing w:line="480" w:lineRule="auto" w:after="0" w:before="0"/>
      </w:pPr>
      <w:r>
        <w:rPr>
          <w:rFonts w:ascii="Times New Roman" w:hAnsi="Times New Roman"/>
          <w:b/>
          <w:sz w:val="24"/>
        </w:rPr>
        <w:t xml:space="preserve">1. </w:t>
      </w:r>
      <w:r>
        <w:rPr>
          <w:rFonts w:ascii="Times New Roman" w:hAnsi="Times New Roman"/>
          <w:b/>
          <w:i w:val="0"/>
          <w:sz w:val="24"/>
        </w:rPr>
        <w:t>GRANT</w:t>
      </w:r>
      <w:r>
        <w:rPr>
          <w:rFonts w:ascii="Times New Roman" w:hAnsi="Times New Roman"/>
          <w:b w:val="0"/>
          <w:i w:val="0"/>
          <w:sz w:val="24"/>
        </w:rPr>
        <w:t xml:space="preserve"> this Motion and disqualify the Honorable Jenny L. McNeill from all further proceedings in Case No. 2024-001507-DC and the related PPO Case No. 2023-5907-PP;</w:t>
      </w:r>
    </w:p>
    <w:p>
      <w:pPr>
        <w:spacing w:line="480" w:lineRule="auto" w:after="0" w:before="0"/>
      </w:pPr>
      <w:r>
        <w:rPr>
          <w:rFonts w:ascii="Times New Roman" w:hAnsi="Times New Roman"/>
          <w:b/>
          <w:sz w:val="24"/>
        </w:rPr>
        <w:t xml:space="preserve">2. </w:t>
      </w:r>
      <w:r>
        <w:rPr>
          <w:rFonts w:ascii="Times New Roman" w:hAnsi="Times New Roman"/>
          <w:b/>
          <w:i w:val="0"/>
          <w:sz w:val="24"/>
        </w:rPr>
        <w:t>ORDER</w:t>
      </w:r>
      <w:r>
        <w:rPr>
          <w:rFonts w:ascii="Times New Roman" w:hAnsi="Times New Roman"/>
          <w:b w:val="0"/>
          <w:i w:val="0"/>
          <w:sz w:val="24"/>
        </w:rPr>
        <w:t xml:space="preserve"> reassignment of this case to a different judge of the 14th Judicial Circuit or, if no other judge is available, to a judge from another circuit pursuant to MCR 2.003(D)(4);</w:t>
      </w:r>
    </w:p>
    <w:p>
      <w:pPr>
        <w:spacing w:line="480" w:lineRule="auto" w:after="0" w:before="0"/>
      </w:pPr>
      <w:r>
        <w:rPr>
          <w:rFonts w:ascii="Times New Roman" w:hAnsi="Times New Roman"/>
          <w:b/>
          <w:sz w:val="24"/>
        </w:rPr>
        <w:t xml:space="preserve">3. </w:t>
      </w:r>
      <w:r>
        <w:rPr>
          <w:rFonts w:ascii="Times New Roman" w:hAnsi="Times New Roman"/>
          <w:b w:val="0"/>
          <w:i w:val="0"/>
          <w:sz w:val="24"/>
        </w:rPr>
        <w:t>If Judge McNeill denies this Motion, Plaintiff requests the denial be treated as a final order subject to immediate appellate review under MCR 2.003(D)(3)(a), which requires the judge to forward the motion and supporting documents to the Chief Judge within 14 days.</w:t>
      </w:r>
    </w:p>
    <w:p>
      <w:r>
        <w:br w:type="page"/>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Road, Lot 17 Laketon Township, Michigan 49445 Telephone: (231) 903-5690</w:t>
      </w:r>
    </w:p>
    <w:p>
      <w:pPr>
        <w:spacing w:line="480" w:lineRule="auto" w:after="0" w:before="0"/>
      </w:pPr>
      <w:r>
        <w:rPr>
          <w:rFonts w:ascii="Times New Roman" w:hAnsi="Times New Roman"/>
          <w:b w:val="0"/>
          <w:i w:val="0"/>
          <w:sz w:val="24"/>
        </w:rPr>
        <w:t>Date: _________________</w:t>
      </w:r>
    </w:p>
    <w:p>
      <w:r>
        <w:br w:type="page"/>
      </w:r>
    </w:p>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 xml:space="preserve">I, Andrew J. Pigors, hereby certify that on _________________, 2026, I served a true and complete copy of this </w:t>
      </w:r>
      <w:r>
        <w:rPr>
          <w:rFonts w:ascii="Times New Roman" w:hAnsi="Times New Roman"/>
          <w:b/>
          <w:i w:val="0"/>
          <w:sz w:val="24"/>
        </w:rPr>
        <w:t>Motion to Disqualify</w:t>
      </w:r>
      <w:r>
        <w:rPr>
          <w:rFonts w:ascii="Times New Roman" w:hAnsi="Times New Roman"/>
          <w:b w:val="0"/>
          <w:i w:val="0"/>
          <w:sz w:val="24"/>
        </w:rPr>
        <w:t xml:space="preserve"> upon all parties by first-class mail and electronic service:</w:t>
      </w:r>
    </w:p>
    <w:p>
      <w:pPr>
        <w:spacing w:line="480" w:lineRule="auto" w:after="0" w:before="0"/>
      </w:pPr>
      <w:r>
        <w:rPr>
          <w:rFonts w:ascii="Times New Roman" w:hAnsi="Times New Roman"/>
          <w:b w:val="0"/>
          <w:i w:val="0"/>
          <w:sz w:val="24"/>
        </w:rPr>
        <w:t>Emily A. Watson (fka Pigors) c/o Jennifer L. Barnes, Esq. Barnes Law Firm, PLLC 880 Jefferson Street, Suite B Muskegon, Michigan 49440</w:t>
      </w:r>
    </w:p>
    <w:p>
      <w:r>
        <w:br w:type="page"/>
      </w:r>
    </w:p>
    <w:p>
      <w:pPr>
        <w:spacing w:line="480" w:lineRule="auto" w:after="0" w:before="0"/>
      </w:pPr>
      <w:r>
        <w:rPr>
          <w:rFonts w:ascii="Times New Roman" w:hAnsi="Times New Roman"/>
          <w:b w:val="0"/>
          <w:i w:val="0"/>
          <w:sz w:val="24"/>
        </w:rPr>
        <w:t>Andrew J. Pigors Date: 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