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 (fka PIGORS),</w:t>
      </w:r>
      <w:r>
        <w:rPr>
          <w:rFonts w:ascii="Times New Roman" w:hAnsi="Times New Roman"/>
          <w:b w:val="0"/>
          <w:i w:val="0"/>
          <w:sz w:val="24"/>
        </w:rPr>
        <w:t xml:space="preserve"> Defendant.</w:t>
      </w:r>
    </w:p>
    <w:p>
      <w:pPr>
        <w:spacing w:line="480" w:lineRule="auto" w:after="0" w:before="0"/>
      </w:pPr>
      <w:r>
        <w:rPr>
          <w:rFonts w:ascii="Times New Roman" w:hAnsi="Times New Roman"/>
          <w:b w:val="0"/>
          <w:i w:val="0"/>
          <w:sz w:val="24"/>
        </w:rPr>
        <w:t>___________________________________________/</w:t>
      </w:r>
    </w:p>
    <w:p>
      <w:r>
        <w:br w:type="page"/>
      </w:r>
    </w:p>
    <w:p>
      <w:pPr>
        <w:spacing w:line="480" w:lineRule="auto" w:after="240" w:before="0"/>
        <w:jc w:val="center"/>
      </w:pPr>
      <w:r>
        <w:rPr>
          <w:rFonts w:ascii="Times New Roman" w:hAnsi="Times New Roman"/>
          <w:b/>
          <w:i w:val="0"/>
          <w:sz w:val="24"/>
        </w:rPr>
        <w:t>PLAINTIFF'S MOTION TO MODIFY CUSTODY</w:t>
      </w:r>
    </w:p>
    <w:p>
      <w:pPr>
        <w:pStyle w:val="Heading2"/>
      </w:pPr>
      <w:r>
        <w:rPr>
          <w:rFonts w:ascii="Times New Roman" w:hAnsi="Times New Roman"/>
        </w:rPr>
        <w:t>Filed Pursuant to MCL 722.27(1)(c), MCR 2.119</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MCR 2.113 COMPLIANCE:</w:t>
      </w:r>
      <w:r>
        <w:rPr>
          <w:rFonts w:ascii="Times New Roman" w:hAnsi="Times New Roman"/>
          <w:b w:val="0"/>
          <w:i w:val="0"/>
          <w:sz w:val="24"/>
        </w:rPr>
        <w:t xml:space="preserve"> 8.5" × 11" paper | 1-inch margins | 12-point proportional serif font | Double-spaced | Sequential paragraph numbering.</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Movant requests the Court Clerk schedule this Motion for hearing and provide notice to all parties per MCR 2.119.</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r>
        <w:br w:type="page"/>
      </w:r>
    </w:p>
    <w:p>
      <w:pPr>
        <w:spacing w:line="480" w:lineRule="auto" w:after="240" w:before="0"/>
        <w:jc w:val="center"/>
      </w:pPr>
      <w:r>
        <w:rPr>
          <w:rFonts w:ascii="Times New Roman" w:hAnsi="Times New Roman"/>
          <w:b/>
          <w:i w:val="0"/>
          <w:sz w:val="24"/>
        </w:rPr>
        <w:t>PART I: MOTION</w:t>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 Andrew J. Pigors, appearing </w:t>
      </w:r>
      <w:r>
        <w:rPr>
          <w:rFonts w:ascii="Times New Roman" w:hAnsi="Times New Roman"/>
          <w:b w:val="0"/>
          <w:i/>
          <w:sz w:val="24"/>
        </w:rPr>
        <w:t>pro se</w:t>
      </w:r>
      <w:r>
        <w:rPr>
          <w:rFonts w:ascii="Times New Roman" w:hAnsi="Times New Roman"/>
          <w:b w:val="0"/>
          <w:i w:val="0"/>
          <w:sz w:val="24"/>
        </w:rPr>
        <w:t>, and respectfully moves this Court for an order modifying the existing custody arrangement to award Plaintiff primary physical custody of the minor child, L.D.W. (DOB: November 9, 2022), or in the alternative, to restore joint custody with a parenting time schedule that reflects the child's best interests, and in support thereof states:</w:t>
      </w:r>
    </w:p>
    <w:p>
      <w:pPr>
        <w:pStyle w:val="Heading2"/>
      </w:pPr>
      <w:r>
        <w:rPr>
          <w:rFonts w:ascii="Times New Roman" w:hAnsi="Times New Roman"/>
        </w:rPr>
        <w:t>A. Jurisdiction and Procedural Framework</w:t>
      </w:r>
    </w:p>
    <w:p>
      <w:pPr>
        <w:spacing w:line="480" w:lineRule="auto" w:after="0" w:before="0"/>
      </w:pPr>
      <w:r>
        <w:rPr>
          <w:rFonts w:ascii="Times New Roman" w:hAnsi="Times New Roman"/>
          <w:b/>
          <w:sz w:val="24"/>
        </w:rPr>
        <w:t xml:space="preserve">1. </w:t>
      </w:r>
      <w:r>
        <w:rPr>
          <w:rFonts w:ascii="Times New Roman" w:hAnsi="Times New Roman"/>
          <w:b w:val="0"/>
          <w:i w:val="0"/>
          <w:sz w:val="24"/>
        </w:rPr>
        <w:t>This Court has jurisdiction over custody matters pursuant to MCL 722.26a and retains continuing jurisdiction over custody and parenting time in Case No. 2024-001507-DC.</w:t>
      </w:r>
    </w:p>
    <w:p>
      <w:pPr>
        <w:spacing w:line="480" w:lineRule="auto" w:after="0" w:before="0"/>
      </w:pPr>
      <w:r>
        <w:rPr>
          <w:rFonts w:ascii="Times New Roman" w:hAnsi="Times New Roman"/>
          <w:b/>
          <w:sz w:val="24"/>
        </w:rPr>
        <w:t xml:space="preserve">2. </w:t>
      </w:r>
      <w:r>
        <w:rPr>
          <w:rFonts w:ascii="Times New Roman" w:hAnsi="Times New Roman"/>
          <w:b w:val="0"/>
          <w:i w:val="0"/>
          <w:sz w:val="24"/>
        </w:rPr>
        <w:t>This Motion is brought under MCL 722.27(1)(c), which authorizes the Court to modify a prior custody order upon a showing of proper cause or a change of circumstances and a determination that the modification is in the child's best interests.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Under </w:t>
      </w:r>
      <w:r>
        <w:rPr>
          <w:rFonts w:ascii="Times New Roman" w:hAnsi="Times New Roman"/>
          <w:b w:val="0"/>
          <w:i/>
          <w:sz w:val="24"/>
        </w:rPr>
        <w:t>Vodvarka v Grasher</w:t>
      </w:r>
      <w:r>
        <w:rPr>
          <w:rFonts w:ascii="Times New Roman" w:hAnsi="Times New Roman"/>
          <w:b w:val="0"/>
          <w:i w:val="0"/>
          <w:sz w:val="24"/>
        </w:rPr>
        <w:t>, 259 Mich App 1, 8; 672 NW2d 847 (2003), the threshold for establishing "proper cause" or "change of circumstances" requires the movant to demonstrate facts that have arisen since the prior order, or that were unknown at the time of the prior order, that are of such magnitude as to warrant reopening the custody determination.</w:t>
      </w:r>
    </w:p>
    <w:p>
      <w:pPr>
        <w:pStyle w:val="Heading2"/>
      </w:pPr>
      <w:r>
        <w:rPr>
          <w:rFonts w:ascii="Times New Roman" w:hAnsi="Times New Roman"/>
        </w:rPr>
        <w:t>B. Changed Circumstances — Vodvarka Threshold</w:t>
      </w:r>
    </w:p>
    <w:p>
      <w:pPr>
        <w:spacing w:line="480" w:lineRule="auto" w:after="0" w:before="0"/>
      </w:pPr>
      <w:r>
        <w:rPr>
          <w:rFonts w:ascii="Times New Roman" w:hAnsi="Times New Roman"/>
          <w:b/>
          <w:i w:val="0"/>
          <w:sz w:val="24"/>
        </w:rPr>
        <w:t>Issue:</w:t>
      </w:r>
      <w:r>
        <w:rPr>
          <w:rFonts w:ascii="Times New Roman" w:hAnsi="Times New Roman"/>
          <w:b w:val="0"/>
          <w:i w:val="0"/>
          <w:sz w:val="24"/>
        </w:rPr>
        <w:t xml:space="preserve"> Whether proper cause or a change of circumstances exists sufficient to warrant reopening the custody determination under MCL 722.27(1)(c) and </w:t>
      </w:r>
      <w:r>
        <w:rPr>
          <w:rFonts w:ascii="Times New Roman" w:hAnsi="Times New Roman"/>
          <w:b w:val="0"/>
          <w:i/>
          <w:sz w:val="24"/>
        </w:rPr>
        <w:t>Vodvarka v Grasher</w:t>
      </w:r>
      <w:r>
        <w:rPr>
          <w:rFonts w:ascii="Times New Roman" w:hAnsi="Times New Roman"/>
          <w:b w:val="0"/>
          <w:i w:val="0"/>
          <w:sz w:val="24"/>
        </w:rPr>
        <w:t>.</w:t>
      </w:r>
    </w:p>
    <w:p>
      <w:pPr>
        <w:spacing w:line="480" w:lineRule="auto" w:after="0" w:before="0"/>
      </w:pPr>
      <w:r>
        <w:rPr>
          <w:rFonts w:ascii="Times New Roman" w:hAnsi="Times New Roman"/>
          <w:b/>
          <w:i w:val="0"/>
          <w:sz w:val="24"/>
        </w:rPr>
        <w:t>Rule:</w:t>
      </w:r>
      <w:r>
        <w:rPr>
          <w:rFonts w:ascii="Times New Roman" w:hAnsi="Times New Roman"/>
          <w:b w:val="0"/>
          <w:i w:val="0"/>
          <w:sz w:val="24"/>
        </w:rPr>
        <w:t xml:space="preserve"> Under </w:t>
      </w:r>
      <w:r>
        <w:rPr>
          <w:rFonts w:ascii="Times New Roman" w:hAnsi="Times New Roman"/>
          <w:b w:val="0"/>
          <w:i/>
          <w:sz w:val="24"/>
        </w:rPr>
        <w:t>Vodvarka v Grasher</w:t>
      </w:r>
      <w:r>
        <w:rPr>
          <w:rFonts w:ascii="Times New Roman" w:hAnsi="Times New Roman"/>
          <w:b w:val="0"/>
          <w:i w:val="0"/>
          <w:sz w:val="24"/>
        </w:rPr>
        <w:t xml:space="preserve">, 259 Mich App 1, 8; 672 NW2d 847 (2003), the movant must establish facts that have arisen since the prior custody order, or that were unknown at the time, that are of such magnitude as to warrant reopening the custody determination. The threshold is not a high bar — it requires only that the alleged change be significant enough to justify a review of the best interest factors. </w:t>
      </w:r>
      <w:r>
        <w:rPr>
          <w:rFonts w:ascii="Times New Roman" w:hAnsi="Times New Roman"/>
          <w:b w:val="0"/>
          <w:i/>
          <w:sz w:val="24"/>
        </w:rPr>
        <w:t>Id.</w:t>
      </w:r>
      <w:r>
        <w:rPr>
          <w:rFonts w:ascii="Times New Roman" w:hAnsi="Times New Roman"/>
          <w:b w:val="0"/>
          <w:i w:val="0"/>
          <w:sz w:val="24"/>
        </w:rPr>
        <w:t xml:space="preserve"> at 10.</w:t>
      </w:r>
    </w:p>
    <w:p>
      <w:pPr>
        <w:spacing w:line="480" w:lineRule="auto" w:after="0" w:before="0"/>
      </w:pPr>
      <w:r>
        <w:rPr>
          <w:rFonts w:ascii="Times New Roman" w:hAnsi="Times New Roman"/>
          <w:b/>
          <w:i w:val="0"/>
          <w:sz w:val="24"/>
        </w:rPr>
        <w:t>Application:</w:t>
      </w:r>
    </w:p>
    <w:p>
      <w:pPr>
        <w:spacing w:line="480" w:lineRule="auto" w:after="0" w:before="0"/>
      </w:pPr>
      <w:r>
        <w:rPr>
          <w:rFonts w:ascii="Times New Roman" w:hAnsi="Times New Roman"/>
          <w:b/>
          <w:sz w:val="24"/>
        </w:rPr>
        <w:t xml:space="preserve">4. </w:t>
      </w:r>
      <w:r>
        <w:rPr>
          <w:rFonts w:ascii="Times New Roman" w:hAnsi="Times New Roman"/>
          <w:b w:val="0"/>
          <w:i w:val="0"/>
          <w:sz w:val="24"/>
        </w:rPr>
        <w:t>The following changed circumstances, each independently sufficient and collectively overwhelming, warrant reopening the custody determination:</w:t>
      </w:r>
    </w:p>
    <w:p>
      <w:pPr>
        <w:pStyle w:val="Heading3"/>
      </w:pPr>
      <w:r>
        <w:rPr>
          <w:rFonts w:ascii="Times New Roman" w:hAnsi="Times New Roman"/>
        </w:rPr>
        <w:t>(i) 329+ Days of Total Parent-Child Separation</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Since August 8, 2025, Father has had </w:t>
      </w:r>
      <w:r>
        <w:rPr>
          <w:rFonts w:ascii="Times New Roman" w:hAnsi="Times New Roman"/>
          <w:b/>
          <w:i w:val="0"/>
          <w:sz w:val="24"/>
        </w:rPr>
        <w:t>zero contact</w:t>
      </w:r>
      <w:r>
        <w:rPr>
          <w:rFonts w:ascii="Times New Roman" w:hAnsi="Times New Roman"/>
          <w:b w:val="0"/>
          <w:i w:val="0"/>
          <w:sz w:val="24"/>
        </w:rPr>
        <w:t xml:space="preserve"> with his minor child, L.D.W. The parent-child separation now exceeds </w:t>
      </w:r>
      <w:r>
        <w:rPr>
          <w:rFonts w:ascii="Times New Roman" w:hAnsi="Times New Roman"/>
          <w:b/>
          <w:i w:val="0"/>
          <w:sz w:val="24"/>
        </w:rPr>
        <w:t>329 consecutive days</w:t>
      </w:r>
      <w:r>
        <w:rPr>
          <w:rFonts w:ascii="Times New Roman" w:hAnsi="Times New Roman"/>
          <w:b w:val="0"/>
          <w:i w:val="0"/>
          <w:sz w:val="24"/>
        </w:rPr>
        <w:t xml:space="preserve"> — spanning L.D.W.'s 3rd birthday, Labor Day 2025, Thanksgiving, Christmas, New Year's, Valentine's Day, Easter, and numerous other holidays and milestones.</w:t>
      </w:r>
    </w:p>
    <w:p>
      <w:pPr>
        <w:spacing w:line="480" w:lineRule="auto" w:after="0" w:before="0"/>
      </w:pPr>
      <w:r>
        <w:rPr>
          <w:rFonts w:ascii="Times New Roman" w:hAnsi="Times New Roman"/>
          <w:b/>
          <w:sz w:val="24"/>
        </w:rPr>
        <w:t xml:space="preserve">6. </w:t>
      </w:r>
      <w:r>
        <w:rPr>
          <w:rFonts w:ascii="Times New Roman" w:hAnsi="Times New Roman"/>
          <w:b w:val="0"/>
          <w:i w:val="0"/>
          <w:sz w:val="24"/>
        </w:rPr>
        <w:t>This prolonged, court-facilitated separation constitutes a change of circumstances of the highest magnitude. The developmental literature and Michigan case law recognize that lengthy separations between a young child and a bonded parent cause irreparable harm to the parent-child attachment relationship.</w:t>
      </w:r>
    </w:p>
    <w:p>
      <w:pPr>
        <w:pStyle w:val="Heading3"/>
      </w:pPr>
      <w:r>
        <w:rPr>
          <w:rFonts w:ascii="Times New Roman" w:hAnsi="Times New Roman"/>
        </w:rPr>
        <w:t>(ii) Parental Alienation by Defendant</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Defendant has engaged in a systematic campaign of </w:t>
      </w:r>
      <w:r>
        <w:rPr>
          <w:rFonts w:ascii="Times New Roman" w:hAnsi="Times New Roman"/>
          <w:b/>
          <w:i w:val="0"/>
          <w:sz w:val="24"/>
        </w:rPr>
        <w:t>parental alienation</w:t>
      </w:r>
      <w:r>
        <w:rPr>
          <w:rFonts w:ascii="Times New Roman" w:hAnsi="Times New Roman"/>
          <w:b w:val="0"/>
          <w:i w:val="0"/>
          <w:sz w:val="24"/>
        </w:rPr>
        <w:t xml:space="preserve"> designed to sever the father-child bond entirely. This campaign includes:</w:t>
      </w:r>
    </w:p>
    <w:p>
      <w:pPr>
        <w:spacing w:line="480" w:lineRule="auto" w:after="0" w:before="0"/>
      </w:pPr>
      <w:r>
        <w:rPr>
          <w:rFonts w:ascii="Times New Roman" w:hAnsi="Times New Roman"/>
          <w:b w:val="0"/>
          <w:i w:val="0"/>
          <w:sz w:val="24"/>
        </w:rPr>
        <w:t>a. Filing an unsworn ex parte motion to eliminate ALL parenting time based on inadmissible hearsay; b. Refusing to facilitate or offer any form of contact (phone calls, video calls, letters) during the 329+ day separation; c. A pattern of unilateral withholding of parenting time that predates the August 2025 ex parte orders, beginning approximately March 26, 2024; d. Weaponizing the PPO in Case No. 2023-5907-PP as a supplemental barrier to the parent-child relationship.</w:t>
      </w:r>
    </w:p>
    <w:p>
      <w:pPr>
        <w:spacing w:line="480" w:lineRule="auto" w:after="0" w:before="0"/>
      </w:pPr>
      <w:r>
        <w:rPr>
          <w:rFonts w:ascii="Times New Roman" w:hAnsi="Times New Roman"/>
          <w:b/>
          <w:sz w:val="24"/>
        </w:rPr>
        <w:t xml:space="preserve">8. </w:t>
      </w:r>
      <w:r>
        <w:rPr>
          <w:rFonts w:ascii="Times New Roman" w:hAnsi="Times New Roman"/>
          <w:b w:val="0"/>
          <w:i/>
          <w:sz w:val="24"/>
        </w:rPr>
        <w:t>Harvey v Harvey</w:t>
      </w:r>
      <w:r>
        <w:rPr>
          <w:rFonts w:ascii="Times New Roman" w:hAnsi="Times New Roman"/>
          <w:b w:val="0"/>
          <w:i w:val="0"/>
          <w:sz w:val="24"/>
        </w:rPr>
        <w:t>, 470 Mich 186, 192 (2004), recognized Factor (j) — a parent's willingness to facilitate the parent-child relationship under MCL 722.23(j) — as "an important consideration" in custody disputes. Defendant's conduct represents the antithesis of Factor (j) compliance.</w:t>
      </w:r>
    </w:p>
    <w:p>
      <w:pPr>
        <w:pStyle w:val="Heading3"/>
      </w:pPr>
      <w:r>
        <w:rPr>
          <w:rFonts w:ascii="Times New Roman" w:hAnsi="Times New Roman"/>
        </w:rPr>
        <w:t>(iii) Watson Employment Weaponization</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Defendant has been employed by the </w:t>
      </w:r>
      <w:r>
        <w:rPr>
          <w:rFonts w:ascii="Times New Roman" w:hAnsi="Times New Roman"/>
          <w:b/>
          <w:i w:val="0"/>
          <w:sz w:val="24"/>
        </w:rPr>
        <w:t>Kent County Prosecutor's Office, Family Court Division</w:t>
      </w:r>
      <w:r>
        <w:rPr>
          <w:rFonts w:ascii="Times New Roman" w:hAnsi="Times New Roman"/>
          <w:b w:val="0"/>
          <w:i w:val="0"/>
          <w:sz w:val="24"/>
        </w:rPr>
        <w:t>, as a caseworker for nine (9) years. This employment provided Defendant with:</w:t>
      </w:r>
    </w:p>
    <w:p>
      <w:pPr>
        <w:spacing w:line="480" w:lineRule="auto" w:after="0" w:before="0"/>
      </w:pPr>
      <w:r>
        <w:rPr>
          <w:rFonts w:ascii="Times New Roman" w:hAnsi="Times New Roman"/>
          <w:b w:val="0"/>
          <w:i w:val="0"/>
          <w:sz w:val="24"/>
        </w:rPr>
        <w:t>a. Institutional familiarity with protective order procedures, ex parte motion practice, and family court operations; b. Professional relationships with court personnel, Friend of Court staff, and law enforcement; c. Knowledge of the procedural mechanisms most likely to achieve the elimination of Father's parenting time; d. Awareness of how to frame allegations to trigger judicial intervention without substantive evidence.</w:t>
      </w:r>
    </w:p>
    <w:p>
      <w:pPr>
        <w:spacing w:line="480" w:lineRule="auto" w:after="0" w:before="0"/>
      </w:pPr>
      <w:r>
        <w:rPr>
          <w:rFonts w:ascii="Times New Roman" w:hAnsi="Times New Roman"/>
          <w:b/>
          <w:sz w:val="24"/>
        </w:rPr>
        <w:t xml:space="preserve">10. </w:t>
      </w:r>
      <w:r>
        <w:rPr>
          <w:rFonts w:ascii="Times New Roman" w:hAnsi="Times New Roman"/>
          <w:b w:val="0"/>
          <w:i w:val="0"/>
          <w:sz w:val="24"/>
        </w:rPr>
        <w:t>Defendant exploited this institutional knowledge to orchestrate the August 8, 2025 ex parte suspension and the PPO — leveraging her professional position to gain a decisive tactical advantage over a pro se litigant. This weaponization of employment-derived knowledge constitutes a change of circumstances that was not fully understood at the time of the prior custody order.</w:t>
      </w:r>
    </w:p>
    <w:p>
      <w:pPr>
        <w:pStyle w:val="Heading3"/>
      </w:pPr>
      <w:r>
        <w:rPr>
          <w:rFonts w:ascii="Times New Roman" w:hAnsi="Times New Roman"/>
        </w:rPr>
        <w:t>(iv) Failure to Impose Mandatory Remedies</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Despite 329+ days of wrongful denial of parenting time, the Court has failed to impose any of the mandatory remedies required by MCL 722.27a(9), which provides that when parenting time is wrongfully denied, the court </w:t>
      </w:r>
      <w:r>
        <w:rPr>
          <w:rFonts w:ascii="Times New Roman" w:hAnsi="Times New Roman"/>
          <w:b/>
          <w:i w:val="0"/>
          <w:sz w:val="24"/>
        </w:rPr>
        <w:t>"shall"</w:t>
      </w:r>
      <w:r>
        <w:rPr>
          <w:rFonts w:ascii="Times New Roman" w:hAnsi="Times New Roman"/>
          <w:b w:val="0"/>
          <w:i w:val="0"/>
          <w:sz w:val="24"/>
        </w:rPr>
        <w:t xml:space="preserve"> do one or more of: (a) modify parenting time, (b) order make-up parenting time, (c) hold the offending parent in contempt, (d) award costs, or (e) modify custody.</w:t>
      </w:r>
    </w:p>
    <w:p>
      <w:pPr>
        <w:spacing w:line="480" w:lineRule="auto" w:after="0" w:before="0"/>
      </w:pPr>
      <w:r>
        <w:rPr>
          <w:rFonts w:ascii="Times New Roman" w:hAnsi="Times New Roman"/>
          <w:b/>
          <w:sz w:val="24"/>
        </w:rPr>
        <w:t xml:space="preserve">12. </w:t>
      </w:r>
      <w:r>
        <w:rPr>
          <w:rFonts w:ascii="Times New Roman" w:hAnsi="Times New Roman"/>
          <w:b w:val="0"/>
          <w:i w:val="0"/>
          <w:sz w:val="24"/>
        </w:rPr>
        <w:t>The Court's failure to enforce its own orders and to impose mandatory remedies has emboldened Defendant's alienation campaign and created a de facto permanent custody arrangement without proper adjudication.</w:t>
      </w:r>
    </w:p>
    <w:p>
      <w:pPr>
        <w:spacing w:line="480" w:lineRule="auto" w:after="0" w:before="0"/>
      </w:pPr>
      <w:r>
        <w:rPr>
          <w:rFonts w:ascii="Times New Roman" w:hAnsi="Times New Roman"/>
          <w:b/>
          <w:i w:val="0"/>
          <w:sz w:val="24"/>
        </w:rPr>
        <w:t>Conclusion:</w:t>
      </w:r>
      <w:r>
        <w:rPr>
          <w:rFonts w:ascii="Times New Roman" w:hAnsi="Times New Roman"/>
          <w:b w:val="0"/>
          <w:i w:val="0"/>
          <w:sz w:val="24"/>
        </w:rPr>
        <w:t xml:space="preserve"> Multiple independent changed circumstances — each of such magnitude as to independently satisfy the </w:t>
      </w:r>
      <w:r>
        <w:rPr>
          <w:rFonts w:ascii="Times New Roman" w:hAnsi="Times New Roman"/>
          <w:b w:val="0"/>
          <w:i/>
          <w:sz w:val="24"/>
        </w:rPr>
        <w:t>Vodvarka</w:t>
      </w:r>
      <w:r>
        <w:rPr>
          <w:rFonts w:ascii="Times New Roman" w:hAnsi="Times New Roman"/>
          <w:b w:val="0"/>
          <w:i w:val="0"/>
          <w:sz w:val="24"/>
        </w:rPr>
        <w:t xml:space="preserve"> threshold — warrant reopening the custody determination under MCL 722.27(1)(c).</w:t>
      </w:r>
    </w:p>
    <w:p>
      <w:r>
        <w:br w:type="page"/>
      </w:r>
    </w:p>
    <w:p>
      <w:pPr>
        <w:spacing w:line="480" w:lineRule="auto" w:after="240" w:before="0"/>
        <w:jc w:val="center"/>
      </w:pPr>
      <w:r>
        <w:rPr>
          <w:rFonts w:ascii="Times New Roman" w:hAnsi="Times New Roman"/>
          <w:b/>
          <w:i w:val="0"/>
          <w:sz w:val="24"/>
        </w:rPr>
        <w:t>PART II: BEST INTEREST ANALYSIS — MCL 722.23(a)-(l)</w:t>
      </w:r>
    </w:p>
    <w:p>
      <w:pPr>
        <w:spacing w:line="480" w:lineRule="auto" w:after="0" w:before="0"/>
      </w:pPr>
      <w:r>
        <w:rPr>
          <w:rFonts w:ascii="Times New Roman" w:hAnsi="Times New Roman"/>
          <w:b/>
          <w:i w:val="0"/>
          <w:sz w:val="24"/>
        </w:rPr>
        <w:t>Issue:</w:t>
      </w:r>
      <w:r>
        <w:rPr>
          <w:rFonts w:ascii="Times New Roman" w:hAnsi="Times New Roman"/>
          <w:b w:val="0"/>
          <w:i w:val="0"/>
          <w:sz w:val="24"/>
        </w:rPr>
        <w:t xml:space="preserve"> Whether modification of custody to award Plaintiff primary physical custody (or restore joint custody) is in the best interests of the minor child under MCL 722.23(a)-(l).</w:t>
      </w:r>
    </w:p>
    <w:p>
      <w:pPr>
        <w:spacing w:line="480" w:lineRule="auto" w:after="0" w:before="0"/>
      </w:pPr>
      <w:r>
        <w:rPr>
          <w:rFonts w:ascii="Times New Roman" w:hAnsi="Times New Roman"/>
          <w:b/>
          <w:i w:val="0"/>
          <w:sz w:val="24"/>
        </w:rPr>
        <w:t>Rule:</w:t>
      </w:r>
      <w:r>
        <w:rPr>
          <w:rFonts w:ascii="Times New Roman" w:hAnsi="Times New Roman"/>
          <w:b w:val="0"/>
          <w:i w:val="0"/>
          <w:sz w:val="24"/>
        </w:rPr>
        <w:t xml:space="preserve"> MCL 722.23 establishes twelve best interest factors that a court must consider and make findings on in any custody dispute. </w:t>
      </w:r>
      <w:r>
        <w:rPr>
          <w:rFonts w:ascii="Times New Roman" w:hAnsi="Times New Roman"/>
          <w:b w:val="0"/>
          <w:i/>
          <w:sz w:val="24"/>
        </w:rPr>
        <w:t>Pierron v. Pierron</w:t>
      </w:r>
      <w:r>
        <w:rPr>
          <w:rFonts w:ascii="Times New Roman" w:hAnsi="Times New Roman"/>
          <w:b w:val="0"/>
          <w:i w:val="0"/>
          <w:sz w:val="24"/>
        </w:rPr>
        <w:t xml:space="preserve">, 486 Mich 81, 92; 782 NW2d 480 (2010) ("Custody decisions require findings under </w:t>
      </w:r>
      <w:r>
        <w:rPr>
          <w:rFonts w:ascii="Times New Roman" w:hAnsi="Times New Roman"/>
          <w:b/>
          <w:i w:val="0"/>
          <w:sz w:val="24"/>
        </w:rPr>
        <w:t>all</w:t>
      </w:r>
      <w:r>
        <w:rPr>
          <w:rFonts w:ascii="Times New Roman" w:hAnsi="Times New Roman"/>
          <w:b w:val="0"/>
          <w:i w:val="0"/>
          <w:sz w:val="24"/>
        </w:rPr>
        <w:t xml:space="preserve"> of the best interest factors."). Under MCL 722.27(1)(c), if an established custodial environment (ECE) exists with both parents, the party seeking modification must prove by </w:t>
      </w:r>
      <w:r>
        <w:rPr>
          <w:rFonts w:ascii="Times New Roman" w:hAnsi="Times New Roman"/>
          <w:b/>
          <w:i w:val="0"/>
          <w:sz w:val="24"/>
        </w:rPr>
        <w:t>clear and convincing evidence</w:t>
      </w:r>
      <w:r>
        <w:rPr>
          <w:rFonts w:ascii="Times New Roman" w:hAnsi="Times New Roman"/>
          <w:b w:val="0"/>
          <w:i w:val="0"/>
          <w:sz w:val="24"/>
        </w:rPr>
        <w:t xml:space="preserve"> that the modification is in the child's best interest. </w:t>
      </w:r>
      <w:r>
        <w:rPr>
          <w:rFonts w:ascii="Times New Roman" w:hAnsi="Times New Roman"/>
          <w:b w:val="0"/>
          <w:i/>
          <w:sz w:val="24"/>
        </w:rPr>
        <w:t>Hunter v. Hunter</w:t>
      </w:r>
      <w:r>
        <w:rPr>
          <w:rFonts w:ascii="Times New Roman" w:hAnsi="Times New Roman"/>
          <w:b w:val="0"/>
          <w:i w:val="0"/>
          <w:sz w:val="24"/>
        </w:rPr>
        <w:t>, 484 Mich 247, 265; 771 NW2d 694 (2009).</w:t>
      </w:r>
    </w:p>
    <w:p>
      <w:pPr>
        <w:spacing w:line="480" w:lineRule="auto" w:after="0" w:before="0"/>
      </w:pPr>
      <w:r>
        <w:rPr>
          <w:rFonts w:ascii="Times New Roman" w:hAnsi="Times New Roman"/>
          <w:b/>
          <w:i w:val="0"/>
          <w:sz w:val="24"/>
        </w:rPr>
        <w:t>Application — Factor-by-Factor Analysis:</w:t>
      </w:r>
    </w:p>
    <w:p>
      <w:pPr>
        <w:pStyle w:val="Heading3"/>
      </w:pPr>
      <w:r>
        <w:rPr>
          <w:rFonts w:ascii="Times New Roman" w:hAnsi="Times New Roman"/>
        </w:rPr>
        <w:t>Factor (a): Love, Affection, and Other Emotional Ties — MCL 722.23(a)</w:t>
      </w:r>
    </w:p>
    <w:p>
      <w:pPr>
        <w:spacing w:line="480" w:lineRule="auto" w:after="0" w:before="0"/>
      </w:pPr>
      <w:r>
        <w:rPr>
          <w:rFonts w:ascii="Times New Roman" w:hAnsi="Times New Roman"/>
          <w:b/>
          <w:sz w:val="24"/>
        </w:rPr>
        <w:t xml:space="preserve">13. </w:t>
      </w:r>
      <w:r>
        <w:rPr>
          <w:rFonts w:ascii="Times New Roman" w:hAnsi="Times New Roman"/>
          <w:b w:val="0"/>
          <w:i w:val="0"/>
          <w:sz w:val="24"/>
        </w:rPr>
        <w:t>Father has demonstrated deep love and affection for L.D.W. since birth. Father was an active, involved parent who participated in daily caregiving, bonding activities, and developmental milestones. Despite 329+ days of enforced separation, Father has continuously fought through legal channels to restore the parent-child relationship — filing multiple motions, attending every hearing, and pursuing appellate relief.</w:t>
      </w:r>
    </w:p>
    <w:p>
      <w:pPr>
        <w:spacing w:line="480" w:lineRule="auto" w:after="0" w:before="0"/>
      </w:pPr>
      <w:r>
        <w:rPr>
          <w:rFonts w:ascii="Times New Roman" w:hAnsi="Times New Roman"/>
          <w:b/>
          <w:sz w:val="24"/>
        </w:rPr>
        <w:t xml:space="preserve">14. </w:t>
      </w:r>
      <w:r>
        <w:rPr>
          <w:rFonts w:ascii="Times New Roman" w:hAnsi="Times New Roman"/>
          <w:b w:val="0"/>
          <w:i w:val="0"/>
          <w:sz w:val="24"/>
        </w:rPr>
        <w:t xml:space="preserve">Mother's decision to seek total elimination of Father's parenting time — rather than proposing supervised visits, therapeutic reunification, or graduated contact — demonstrates a prioritization of litigation strategy over the child's emotional bond with his father. </w:t>
      </w:r>
      <w:r>
        <w:rPr>
          <w:rFonts w:ascii="Times New Roman" w:hAnsi="Times New Roman"/>
          <w:b/>
          <w:i w:val="0"/>
          <w:sz w:val="24"/>
        </w:rPr>
        <w:t>Factor (a) favors Father.</w:t>
      </w:r>
    </w:p>
    <w:p>
      <w:pPr>
        <w:pStyle w:val="Heading3"/>
      </w:pPr>
      <w:r>
        <w:rPr>
          <w:rFonts w:ascii="Times New Roman" w:hAnsi="Times New Roman"/>
        </w:rPr>
        <w:t>Factor (b): Capacity to Give Love, Affection, and Guidance — MCL 722.23(b)</w:t>
      </w:r>
    </w:p>
    <w:p>
      <w:pPr>
        <w:spacing w:line="480" w:lineRule="auto" w:after="0" w:before="0"/>
      </w:pPr>
      <w:r>
        <w:rPr>
          <w:rFonts w:ascii="Times New Roman" w:hAnsi="Times New Roman"/>
          <w:b/>
          <w:sz w:val="24"/>
        </w:rPr>
        <w:t xml:space="preserve">15. </w:t>
      </w:r>
      <w:r>
        <w:rPr>
          <w:rFonts w:ascii="Times New Roman" w:hAnsi="Times New Roman"/>
          <w:b w:val="0"/>
          <w:i w:val="0"/>
          <w:sz w:val="24"/>
        </w:rPr>
        <w:t>Father has the capacity and willingness to provide love, affection, and guidance to L.D.W. Father's pre-separation parenting demonstrated consistent engagement in the child's physical, emotional, and developmental needs.</w:t>
      </w:r>
    </w:p>
    <w:p>
      <w:pPr>
        <w:spacing w:line="480" w:lineRule="auto" w:after="0" w:before="0"/>
      </w:pPr>
      <w:r>
        <w:rPr>
          <w:rFonts w:ascii="Times New Roman" w:hAnsi="Times New Roman"/>
          <w:b/>
          <w:sz w:val="24"/>
        </w:rPr>
        <w:t xml:space="preserve">16. </w:t>
      </w:r>
      <w:r>
        <w:rPr>
          <w:rFonts w:ascii="Times New Roman" w:hAnsi="Times New Roman"/>
          <w:b w:val="0"/>
          <w:i w:val="0"/>
          <w:sz w:val="24"/>
        </w:rPr>
        <w:t xml:space="preserve">Mother's capacity to guide the child is compromised by her demonstrated willingness to sever the child's relationship with his father — depriving L.D.W. of the paternal guidance, affection, and modeling that is essential to healthy development. </w:t>
      </w:r>
      <w:r>
        <w:rPr>
          <w:rFonts w:ascii="Times New Roman" w:hAnsi="Times New Roman"/>
          <w:b/>
          <w:i w:val="0"/>
          <w:sz w:val="24"/>
        </w:rPr>
        <w:t>Factor (b) favors Father.</w:t>
      </w:r>
    </w:p>
    <w:p>
      <w:pPr>
        <w:pStyle w:val="Heading3"/>
      </w:pPr>
      <w:r>
        <w:rPr>
          <w:rFonts w:ascii="Times New Roman" w:hAnsi="Times New Roman"/>
        </w:rPr>
        <w:t>Factor (c): Capacity to Provide Food, Clothing, Medical Care — MCL 722.23(c)</w:t>
      </w:r>
    </w:p>
    <w:p>
      <w:pPr>
        <w:spacing w:line="480" w:lineRule="auto" w:after="0" w:before="0"/>
      </w:pPr>
      <w:r>
        <w:rPr>
          <w:rFonts w:ascii="Times New Roman" w:hAnsi="Times New Roman"/>
          <w:b/>
          <w:sz w:val="24"/>
        </w:rPr>
        <w:t xml:space="preserve">17. </w:t>
      </w:r>
      <w:r>
        <w:rPr>
          <w:rFonts w:ascii="Times New Roman" w:hAnsi="Times New Roman"/>
          <w:b w:val="0"/>
          <w:i w:val="0"/>
          <w:sz w:val="24"/>
        </w:rPr>
        <w:t>Father has the capacity to provide for L.D.W.'s material needs, including food, clothing, shelter, and medical care. Father maintains stable housing at 1977 Whitehall Road, Lot 17, Laketon Township, Michigan.</w:t>
      </w:r>
    </w:p>
    <w:p>
      <w:pPr>
        <w:spacing w:line="480" w:lineRule="auto" w:after="0" w:before="0"/>
      </w:pPr>
      <w:r>
        <w:rPr>
          <w:rFonts w:ascii="Times New Roman" w:hAnsi="Times New Roman"/>
          <w:b/>
          <w:sz w:val="24"/>
        </w:rPr>
        <w:t xml:space="preserve">18. </w:t>
      </w:r>
      <w:r>
        <w:rPr>
          <w:rFonts w:ascii="Times New Roman" w:hAnsi="Times New Roman"/>
          <w:b w:val="0"/>
          <w:i w:val="0"/>
          <w:sz w:val="24"/>
        </w:rPr>
        <w:t xml:space="preserve">This factor is neutral or slightly favors Mother based on current employment status; however, Mother's employment with the </w:t>
      </w:r>
      <w:r>
        <w:rPr>
          <w:rFonts w:ascii="Times New Roman" w:hAnsi="Times New Roman"/>
          <w:b/>
          <w:i w:val="0"/>
          <w:sz w:val="24"/>
        </w:rPr>
        <w:t>Kent County Prosecutor's Office</w:t>
      </w:r>
      <w:r>
        <w:rPr>
          <w:rFonts w:ascii="Times New Roman" w:hAnsi="Times New Roman"/>
          <w:b w:val="0"/>
          <w:i w:val="0"/>
          <w:sz w:val="24"/>
        </w:rPr>
        <w:t xml:space="preserve"> — while providing financial stability — has been weaponized to gain tactical litigation advantage, which the Court should weigh in context. </w:t>
      </w:r>
      <w:r>
        <w:rPr>
          <w:rFonts w:ascii="Times New Roman" w:hAnsi="Times New Roman"/>
          <w:b/>
          <w:i w:val="0"/>
          <w:sz w:val="24"/>
        </w:rPr>
        <w:t>Factor (c) is neutral.</w:t>
      </w:r>
    </w:p>
    <w:p>
      <w:pPr>
        <w:pStyle w:val="Heading3"/>
      </w:pPr>
      <w:r>
        <w:rPr>
          <w:rFonts w:ascii="Times New Roman" w:hAnsi="Times New Roman"/>
        </w:rPr>
        <w:t>Factor (d): Length of Time in Stable Environment — MCL 722.23(d)</w:t>
      </w:r>
    </w:p>
    <w:p>
      <w:pPr>
        <w:spacing w:line="480" w:lineRule="auto" w:after="0" w:before="0"/>
      </w:pPr>
      <w:r>
        <w:rPr>
          <w:rFonts w:ascii="Times New Roman" w:hAnsi="Times New Roman"/>
          <w:b/>
          <w:sz w:val="24"/>
        </w:rPr>
        <w:t xml:space="preserve">19. </w:t>
      </w:r>
      <w:r>
        <w:rPr>
          <w:rFonts w:ascii="Times New Roman" w:hAnsi="Times New Roman"/>
          <w:b w:val="0"/>
          <w:i w:val="0"/>
          <w:sz w:val="24"/>
        </w:rPr>
        <w:t>Prior to the August 2025 ex parte orders, L.D.W. had a stable environment with both parents. The 329+ day separation was court-imposed based on unverified allegations, not a reflection of an unstable environment with Father.</w:t>
      </w:r>
    </w:p>
    <w:p>
      <w:pPr>
        <w:spacing w:line="480" w:lineRule="auto" w:after="0" w:before="0"/>
      </w:pPr>
      <w:r>
        <w:rPr>
          <w:rFonts w:ascii="Times New Roman" w:hAnsi="Times New Roman"/>
          <w:b/>
          <w:sz w:val="24"/>
        </w:rPr>
        <w:t xml:space="preserve">20. </w:t>
      </w:r>
      <w:r>
        <w:rPr>
          <w:rFonts w:ascii="Times New Roman" w:hAnsi="Times New Roman"/>
          <w:b w:val="0"/>
          <w:i w:val="0"/>
          <w:sz w:val="24"/>
        </w:rPr>
        <w:t xml:space="preserve">The current "stable environment" with Mother exists only because the Court's ex parte orders created it — a court-manufactured status quo that should not be allowed to calcify into a permanent arrangement. </w:t>
      </w:r>
      <w:r>
        <w:rPr>
          <w:rFonts w:ascii="Times New Roman" w:hAnsi="Times New Roman"/>
          <w:b w:val="0"/>
          <w:i/>
          <w:sz w:val="24"/>
        </w:rPr>
        <w:t>Foskett v. Foskett</w:t>
      </w:r>
      <w:r>
        <w:rPr>
          <w:rFonts w:ascii="Times New Roman" w:hAnsi="Times New Roman"/>
          <w:b w:val="0"/>
          <w:i w:val="0"/>
          <w:sz w:val="24"/>
        </w:rPr>
        <w:t xml:space="preserve">, 247 Mich App 1, 10; 634 NW2d 363 (2001). </w:t>
      </w:r>
      <w:r>
        <w:rPr>
          <w:rFonts w:ascii="Times New Roman" w:hAnsi="Times New Roman"/>
          <w:b/>
          <w:i w:val="0"/>
          <w:sz w:val="24"/>
        </w:rPr>
        <w:t>Factor (d) is neutral — should not reward court-created separation.</w:t>
      </w:r>
    </w:p>
    <w:p>
      <w:pPr>
        <w:pStyle w:val="Heading3"/>
      </w:pPr>
      <w:r>
        <w:rPr>
          <w:rFonts w:ascii="Times New Roman" w:hAnsi="Times New Roman"/>
        </w:rPr>
        <w:t>Factor (e): Permanence of the Custodial Home — MCL 722.23(e)</w:t>
      </w:r>
    </w:p>
    <w:p>
      <w:pPr>
        <w:spacing w:line="480" w:lineRule="auto" w:after="0" w:before="0"/>
      </w:pPr>
      <w:r>
        <w:rPr>
          <w:rFonts w:ascii="Times New Roman" w:hAnsi="Times New Roman"/>
          <w:b/>
          <w:sz w:val="24"/>
        </w:rPr>
        <w:t xml:space="preserve">21. </w:t>
      </w:r>
      <w:r>
        <w:rPr>
          <w:rFonts w:ascii="Times New Roman" w:hAnsi="Times New Roman"/>
          <w:b w:val="0"/>
          <w:i w:val="0"/>
          <w:sz w:val="24"/>
        </w:rPr>
        <w:t xml:space="preserve">Both parties maintain permanent residences. Father's residence at 1977 Whitehall Road is stable and suitable for the child. </w:t>
      </w:r>
      <w:r>
        <w:rPr>
          <w:rFonts w:ascii="Times New Roman" w:hAnsi="Times New Roman"/>
          <w:b/>
          <w:i w:val="0"/>
          <w:sz w:val="24"/>
        </w:rPr>
        <w:t>Factor (e) is neutral.</w:t>
      </w:r>
    </w:p>
    <w:p>
      <w:pPr>
        <w:pStyle w:val="Heading3"/>
      </w:pPr>
      <w:r>
        <w:rPr>
          <w:rFonts w:ascii="Times New Roman" w:hAnsi="Times New Roman"/>
        </w:rPr>
        <w:t>Factor (f): Moral Fitness — MCL 722.23(f)</w:t>
      </w:r>
    </w:p>
    <w:p>
      <w:pPr>
        <w:spacing w:line="480" w:lineRule="auto" w:after="0" w:before="0"/>
      </w:pPr>
      <w:r>
        <w:rPr>
          <w:rFonts w:ascii="Times New Roman" w:hAnsi="Times New Roman"/>
          <w:b/>
          <w:sz w:val="24"/>
        </w:rPr>
        <w:t xml:space="preserve">22. </w:t>
      </w:r>
      <w:r>
        <w:rPr>
          <w:rFonts w:ascii="Times New Roman" w:hAnsi="Times New Roman"/>
          <w:b w:val="0"/>
          <w:i w:val="0"/>
          <w:sz w:val="24"/>
        </w:rPr>
        <w:t>Father's moral fitness is demonstrated by his compliance with all court orders, his negative narcotics screen contradicting Mother's drug-use allegations, his persistent legal advocacy for his child, and his zero-incident record over 329+ days.</w:t>
      </w:r>
    </w:p>
    <w:p>
      <w:pPr>
        <w:spacing w:line="480" w:lineRule="auto" w:after="0" w:before="0"/>
      </w:pPr>
      <w:r>
        <w:rPr>
          <w:rFonts w:ascii="Times New Roman" w:hAnsi="Times New Roman"/>
          <w:b/>
          <w:sz w:val="24"/>
        </w:rPr>
        <w:t xml:space="preserve">23. </w:t>
      </w:r>
      <w:r>
        <w:rPr>
          <w:rFonts w:ascii="Times New Roman" w:hAnsi="Times New Roman"/>
          <w:b w:val="0"/>
          <w:i w:val="0"/>
          <w:sz w:val="24"/>
        </w:rPr>
        <w:t xml:space="preserve">Mother's moral fitness is called into question by her filing of an unsworn ex parte motion based on inadmissible hearsay, her systematic campaign to sever the father-child bond, her weaponization of her employment position with the Kent County Prosecutor's Office, and the 333 documented impeachment items reflecting contradictions between her assertions and the record. </w:t>
      </w:r>
      <w:r>
        <w:rPr>
          <w:rFonts w:ascii="Times New Roman" w:hAnsi="Times New Roman"/>
          <w:b/>
          <w:i w:val="0"/>
          <w:sz w:val="24"/>
        </w:rPr>
        <w:t>Factor (f) favors Father.</w:t>
      </w:r>
    </w:p>
    <w:p>
      <w:pPr>
        <w:pStyle w:val="Heading3"/>
      </w:pPr>
      <w:r>
        <w:rPr>
          <w:rFonts w:ascii="Times New Roman" w:hAnsi="Times New Roman"/>
        </w:rPr>
        <w:t>Factor (g): Mental and Physical Health — MCL 722.23(g)</w:t>
      </w:r>
    </w:p>
    <w:p>
      <w:pPr>
        <w:spacing w:line="480" w:lineRule="auto" w:after="0" w:before="0"/>
      </w:pPr>
      <w:r>
        <w:rPr>
          <w:rFonts w:ascii="Times New Roman" w:hAnsi="Times New Roman"/>
          <w:b/>
          <w:sz w:val="24"/>
        </w:rPr>
        <w:t xml:space="preserve">24. </w:t>
      </w:r>
      <w:r>
        <w:rPr>
          <w:rFonts w:ascii="Times New Roman" w:hAnsi="Times New Roman"/>
          <w:b w:val="0"/>
          <w:i w:val="0"/>
          <w:sz w:val="24"/>
        </w:rPr>
        <w:t xml:space="preserve">Father is in good mental and physical health. The narcotics screen returned </w:t>
      </w:r>
      <w:r>
        <w:rPr>
          <w:rFonts w:ascii="Times New Roman" w:hAnsi="Times New Roman"/>
          <w:b/>
          <w:i w:val="0"/>
          <w:sz w:val="24"/>
        </w:rPr>
        <w:t>NEGATIVE</w:t>
      </w:r>
      <w:r>
        <w:rPr>
          <w:rFonts w:ascii="Times New Roman" w:hAnsi="Times New Roman"/>
          <w:b w:val="0"/>
          <w:i w:val="0"/>
          <w:sz w:val="24"/>
        </w:rPr>
        <w:t>, contradicting the drug-use allegations that formed the basis of the ex parte motion. No competent evidence of any mental or physical health condition that would impair Father's ability to parent has been presented.</w:t>
      </w:r>
    </w:p>
    <w:p>
      <w:pPr>
        <w:spacing w:line="480" w:lineRule="auto" w:after="0" w:before="0"/>
      </w:pPr>
      <w:r>
        <w:rPr>
          <w:rFonts w:ascii="Times New Roman" w:hAnsi="Times New Roman"/>
          <w:b/>
          <w:sz w:val="24"/>
        </w:rPr>
        <w:t xml:space="preserve">25. </w:t>
      </w:r>
      <w:r>
        <w:rPr>
          <w:rFonts w:ascii="Times New Roman" w:hAnsi="Times New Roman"/>
          <w:b w:val="0"/>
          <w:i w:val="0"/>
          <w:sz w:val="24"/>
        </w:rPr>
        <w:t xml:space="preserve">No evidence has been presented regarding Mother's mental or physical health that would affect this factor. </w:t>
      </w:r>
      <w:r>
        <w:rPr>
          <w:rFonts w:ascii="Times New Roman" w:hAnsi="Times New Roman"/>
          <w:b/>
          <w:i w:val="0"/>
          <w:sz w:val="24"/>
        </w:rPr>
        <w:t>Factor (g) is neutral or slightly favors Father based on negative narcotics screen.</w:t>
      </w:r>
    </w:p>
    <w:p>
      <w:pPr>
        <w:pStyle w:val="Heading3"/>
      </w:pPr>
      <w:r>
        <w:rPr>
          <w:rFonts w:ascii="Times New Roman" w:hAnsi="Times New Roman"/>
        </w:rPr>
        <w:t>Factor (h): Home, School, and Community Record — MCL 722.23(h)</w:t>
      </w:r>
    </w:p>
    <w:p>
      <w:pPr>
        <w:spacing w:line="480" w:lineRule="auto" w:after="0" w:before="0"/>
      </w:pPr>
      <w:r>
        <w:rPr>
          <w:rFonts w:ascii="Times New Roman" w:hAnsi="Times New Roman"/>
          <w:b/>
          <w:sz w:val="24"/>
        </w:rPr>
        <w:t xml:space="preserve">26. </w:t>
      </w:r>
      <w:r>
        <w:rPr>
          <w:rFonts w:ascii="Times New Roman" w:hAnsi="Times New Roman"/>
          <w:b w:val="0"/>
          <w:i w:val="0"/>
          <w:sz w:val="24"/>
        </w:rPr>
        <w:t xml:space="preserve">L.D.W. is under age 5 and not yet in formal schooling. Father's community record is unblemished. Father has no criminal history relevant to parenting capacity. </w:t>
      </w:r>
      <w:r>
        <w:rPr>
          <w:rFonts w:ascii="Times New Roman" w:hAnsi="Times New Roman"/>
          <w:b/>
          <w:i w:val="0"/>
          <w:sz w:val="24"/>
        </w:rPr>
        <w:t>Factor (h) is neutral.</w:t>
      </w:r>
    </w:p>
    <w:p>
      <w:pPr>
        <w:pStyle w:val="Heading3"/>
      </w:pPr>
      <w:r>
        <w:rPr>
          <w:rFonts w:ascii="Times New Roman" w:hAnsi="Times New Roman"/>
        </w:rPr>
        <w:t>Factor (i): Reasonable Preference of the Child — MCL 722.23(i)</w:t>
      </w:r>
    </w:p>
    <w:p>
      <w:pPr>
        <w:spacing w:line="480" w:lineRule="auto" w:after="0" w:before="0"/>
      </w:pPr>
      <w:r>
        <w:rPr>
          <w:rFonts w:ascii="Times New Roman" w:hAnsi="Times New Roman"/>
          <w:b/>
          <w:sz w:val="24"/>
        </w:rPr>
        <w:t xml:space="preserve">27. </w:t>
      </w:r>
      <w:r>
        <w:rPr>
          <w:rFonts w:ascii="Times New Roman" w:hAnsi="Times New Roman"/>
          <w:b w:val="0"/>
          <w:i w:val="0"/>
          <w:sz w:val="24"/>
        </w:rPr>
        <w:t xml:space="preserve">L.D.W. was born November 9, 2022, and is currently approximately 3 years old. The child is not of sufficient age to express a reasonable preference. </w:t>
      </w:r>
      <w:r>
        <w:rPr>
          <w:rFonts w:ascii="Times New Roman" w:hAnsi="Times New Roman"/>
          <w:b/>
          <w:i w:val="0"/>
          <w:sz w:val="24"/>
        </w:rPr>
        <w:t>Factor (i) is inapplicable.</w:t>
      </w:r>
    </w:p>
    <w:p>
      <w:pPr>
        <w:pStyle w:val="Heading3"/>
      </w:pPr>
      <w:r>
        <w:rPr>
          <w:rFonts w:ascii="Times New Roman" w:hAnsi="Times New Roman"/>
        </w:rPr>
        <w:t>Factor (j): Willingness to Facilitate the Parent-Child Relationship — MCL 722.23(j)</w:t>
      </w:r>
    </w:p>
    <w:p>
      <w:pPr>
        <w:spacing w:line="480" w:lineRule="auto" w:after="0" w:before="0"/>
      </w:pPr>
      <w:r>
        <w:rPr>
          <w:rFonts w:ascii="Times New Roman" w:hAnsi="Times New Roman"/>
          <w:b/>
          <w:sz w:val="24"/>
        </w:rPr>
        <w:t xml:space="preserve">28. </w:t>
      </w:r>
      <w:r>
        <w:rPr>
          <w:rFonts w:ascii="Times New Roman" w:hAnsi="Times New Roman"/>
          <w:b/>
          <w:i w:val="0"/>
          <w:sz w:val="24"/>
        </w:rPr>
        <w:t>This is the decisive factor.</w:t>
      </w:r>
      <w:r>
        <w:rPr>
          <w:rFonts w:ascii="Times New Roman" w:hAnsi="Times New Roman"/>
          <w:b w:val="0"/>
          <w:i w:val="0"/>
          <w:sz w:val="24"/>
        </w:rPr>
        <w:t xml:space="preserve"> MCL 722.23(j) requires the Court to evaluate "the willingness and ability of each of the parties to facilitate and encourage a close and continuing parent-child relationship between the child and the other parent."</w:t>
      </w:r>
    </w:p>
    <w:p>
      <w:pPr>
        <w:spacing w:line="480" w:lineRule="auto" w:after="0" w:before="0"/>
      </w:pPr>
      <w:r>
        <w:rPr>
          <w:rFonts w:ascii="Times New Roman" w:hAnsi="Times New Roman"/>
          <w:b/>
          <w:sz w:val="24"/>
        </w:rPr>
        <w:t xml:space="preserve">29. </w:t>
      </w:r>
      <w:r>
        <w:rPr>
          <w:rFonts w:ascii="Times New Roman" w:hAnsi="Times New Roman"/>
          <w:b w:val="0"/>
          <w:i/>
          <w:sz w:val="24"/>
        </w:rPr>
        <w:t>Harvey v Harvey</w:t>
      </w:r>
      <w:r>
        <w:rPr>
          <w:rFonts w:ascii="Times New Roman" w:hAnsi="Times New Roman"/>
          <w:b w:val="0"/>
          <w:i w:val="0"/>
          <w:sz w:val="24"/>
        </w:rPr>
        <w:t>, 470 Mich 186, 192 (2004), recognized Factor (j) as "an important consideration" in custody disputes. The Michigan Supreme Court emphasized that a parent's willingness to facilitate the other parent's relationship with the child is a significant indicator of which parent will better serve the child's overall best interests.</w:t>
      </w:r>
    </w:p>
    <w:p>
      <w:pPr>
        <w:spacing w:line="480" w:lineRule="auto" w:after="0" w:before="0"/>
      </w:pPr>
      <w:r>
        <w:rPr>
          <w:rFonts w:ascii="Times New Roman" w:hAnsi="Times New Roman"/>
          <w:b/>
          <w:sz w:val="24"/>
        </w:rPr>
        <w:t xml:space="preserve">30. </w:t>
      </w:r>
      <w:r>
        <w:rPr>
          <w:rFonts w:ascii="Times New Roman" w:hAnsi="Times New Roman"/>
          <w:b/>
          <w:i w:val="0"/>
          <w:sz w:val="24"/>
        </w:rPr>
        <w:t>Mother has demonstrated complete unwillingness to facilitate the parent-child relationship:</w:t>
      </w:r>
    </w:p>
    <w:p>
      <w:pPr>
        <w:spacing w:line="480" w:lineRule="auto" w:after="0" w:before="0"/>
      </w:pPr>
      <w:r>
        <w:rPr>
          <w:rFonts w:ascii="Times New Roman" w:hAnsi="Times New Roman"/>
          <w:b w:val="0"/>
          <w:i w:val="0"/>
          <w:sz w:val="24"/>
        </w:rPr>
        <w:t xml:space="preserve">a. Filed an ex parte motion to eliminate ALL parenting time based on unsworn hearsay — not to restrict or supervise, but to eliminate entirely; b. Offered no voluntary contact (phone calls, video calls, letters) during 329+ days of separation; c. The pattern of withholding predates August 2025, beginning approximately March 2024; d. Leveraged her employment with the </w:t>
      </w:r>
      <w:r>
        <w:rPr>
          <w:rFonts w:ascii="Times New Roman" w:hAnsi="Times New Roman"/>
          <w:b/>
          <w:i w:val="0"/>
          <w:sz w:val="24"/>
        </w:rPr>
        <w:t>Kent County Prosecutor's Office, Family Court Division</w:t>
      </w:r>
      <w:r>
        <w:rPr>
          <w:rFonts w:ascii="Times New Roman" w:hAnsi="Times New Roman"/>
          <w:b w:val="0"/>
          <w:i w:val="0"/>
          <w:sz w:val="24"/>
        </w:rPr>
        <w:t xml:space="preserve"> to weaponize court procedures; e. Obtained a PPO in Case No. 2023-5907-PP that supplements the custody suspension as a dual barrier.</w:t>
      </w:r>
    </w:p>
    <w:p>
      <w:pPr>
        <w:spacing w:line="480" w:lineRule="auto" w:after="0" w:before="0"/>
      </w:pPr>
      <w:r>
        <w:rPr>
          <w:rFonts w:ascii="Times New Roman" w:hAnsi="Times New Roman"/>
          <w:b/>
          <w:sz w:val="24"/>
        </w:rPr>
        <w:t xml:space="preserve">31. </w:t>
      </w:r>
      <w:r>
        <w:rPr>
          <w:rFonts w:ascii="Times New Roman" w:hAnsi="Times New Roman"/>
          <w:b/>
          <w:i w:val="0"/>
          <w:sz w:val="24"/>
        </w:rPr>
        <w:t>Father has consistently demonstrated willingness to facilitate the relationship:</w:t>
      </w:r>
    </w:p>
    <w:p>
      <w:pPr>
        <w:spacing w:line="480" w:lineRule="auto" w:after="0" w:before="0"/>
      </w:pPr>
      <w:r>
        <w:rPr>
          <w:rFonts w:ascii="Times New Roman" w:hAnsi="Times New Roman"/>
          <w:b w:val="0"/>
          <w:i w:val="0"/>
          <w:sz w:val="24"/>
        </w:rPr>
        <w:t>a. Filed multiple motions to restore parenting time; b. Attended every court hearing; c. Pursued appellate relief (COA 366810); d. Expressed willingness to accept supervised parenting time as an interim measure; e. Has never sought to limit Mother's parenting time.</w:t>
      </w:r>
    </w:p>
    <w:p>
      <w:pPr>
        <w:spacing w:line="480" w:lineRule="auto" w:after="0" w:before="0"/>
      </w:pPr>
      <w:r>
        <w:rPr>
          <w:rFonts w:ascii="Times New Roman" w:hAnsi="Times New Roman"/>
          <w:b/>
          <w:sz w:val="24"/>
        </w:rPr>
        <w:t xml:space="preserve">32. </w:t>
      </w:r>
      <w:r>
        <w:rPr>
          <w:rFonts w:ascii="Times New Roman" w:hAnsi="Times New Roman"/>
          <w:b w:val="0"/>
          <w:i w:val="0"/>
          <w:sz w:val="24"/>
        </w:rPr>
        <w:t xml:space="preserve">The 329+ day separation is the direct result of Mother's alienation campaign. MCL 722.27a(9) mandates remedies for wrongful denial of parenting time, including custody modification — the very relief sought here. </w:t>
      </w:r>
      <w:r>
        <w:rPr>
          <w:rFonts w:ascii="Times New Roman" w:hAnsi="Times New Roman"/>
          <w:b/>
          <w:i w:val="0"/>
          <w:sz w:val="24"/>
        </w:rPr>
        <w:t>Factor (j) overwhelmingly favors Father.</w:t>
      </w:r>
    </w:p>
    <w:p>
      <w:pPr>
        <w:pStyle w:val="Heading3"/>
      </w:pPr>
      <w:r>
        <w:rPr>
          <w:rFonts w:ascii="Times New Roman" w:hAnsi="Times New Roman"/>
        </w:rPr>
        <w:t>Factor (k): Domestic Violence — MCL 722.23(k)</w:t>
      </w:r>
    </w:p>
    <w:p>
      <w:pPr>
        <w:spacing w:line="480" w:lineRule="auto" w:after="0" w:before="0"/>
      </w:pPr>
      <w:r>
        <w:rPr>
          <w:rFonts w:ascii="Times New Roman" w:hAnsi="Times New Roman"/>
          <w:b/>
          <w:sz w:val="24"/>
        </w:rPr>
        <w:t xml:space="preserve">33. </w:t>
      </w:r>
      <w:r>
        <w:rPr>
          <w:rFonts w:ascii="Times New Roman" w:hAnsi="Times New Roman"/>
          <w:b w:val="0"/>
          <w:i w:val="0"/>
          <w:sz w:val="24"/>
        </w:rPr>
        <w:t>No substantiated evidence of domestic violence by Father has been presented. The ex parte motion's allegations were based on inadmissible hearsay and were contradicted by Father's negative narcotics screen. The PPO was entered without a full evidentiary hearing.</w:t>
      </w:r>
    </w:p>
    <w:p>
      <w:pPr>
        <w:spacing w:line="480" w:lineRule="auto" w:after="0" w:before="0"/>
      </w:pPr>
      <w:r>
        <w:rPr>
          <w:rFonts w:ascii="Times New Roman" w:hAnsi="Times New Roman"/>
          <w:b/>
          <w:sz w:val="24"/>
        </w:rPr>
        <w:t xml:space="preserve">34. </w:t>
      </w:r>
      <w:r>
        <w:rPr>
          <w:rFonts w:ascii="Times New Roman" w:hAnsi="Times New Roman"/>
          <w:b w:val="0"/>
          <w:i w:val="0"/>
          <w:sz w:val="24"/>
        </w:rPr>
        <w:t xml:space="preserve">To the extent the PPO is cited as evidence of domestic violence, the PPO itself is being challenged (see companion Motion to Terminate PPO, Case No. 2023-5907-PP) and was obtained through the same procedural deficiencies identified throughout this litigation. </w:t>
      </w:r>
      <w:r>
        <w:rPr>
          <w:rFonts w:ascii="Times New Roman" w:hAnsi="Times New Roman"/>
          <w:b/>
          <w:i w:val="0"/>
          <w:sz w:val="24"/>
        </w:rPr>
        <w:t>Factor (k) is neutral or favors Father.</w:t>
      </w:r>
    </w:p>
    <w:p>
      <w:pPr>
        <w:pStyle w:val="Heading3"/>
      </w:pPr>
      <w:r>
        <w:rPr>
          <w:rFonts w:ascii="Times New Roman" w:hAnsi="Times New Roman"/>
        </w:rPr>
        <w:t>Factor (l): Any Other Relevant Factor — MCL 722.23(l)</w:t>
      </w:r>
    </w:p>
    <w:p>
      <w:pPr>
        <w:spacing w:line="480" w:lineRule="auto" w:after="0" w:before="0"/>
      </w:pPr>
      <w:r>
        <w:rPr>
          <w:rFonts w:ascii="Times New Roman" w:hAnsi="Times New Roman"/>
          <w:b/>
          <w:sz w:val="24"/>
        </w:rPr>
        <w:t xml:space="preserve">35. </w:t>
      </w:r>
      <w:r>
        <w:rPr>
          <w:rFonts w:ascii="Times New Roman" w:hAnsi="Times New Roman"/>
          <w:b w:val="0"/>
          <w:i w:val="0"/>
          <w:sz w:val="24"/>
        </w:rPr>
        <w:t>The following additional factors are relevant: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Institutional Advantage:</w:t>
      </w:r>
      <w:r>
        <w:rPr>
          <w:rFonts w:ascii="Times New Roman" w:hAnsi="Times New Roman"/>
          <w:b w:val="0"/>
          <w:i w:val="0"/>
          <w:sz w:val="24"/>
        </w:rPr>
        <w:t xml:space="preserve"> Mother's nine (9) years with the Kent County Prosecutor's Office provided an unfair tactical advantage over a pro se father in navigating family court procedures; b. </w:t>
      </w:r>
      <w:r>
        <w:rPr>
          <w:rFonts w:ascii="Times New Roman" w:hAnsi="Times New Roman"/>
          <w:b/>
          <w:i w:val="0"/>
          <w:sz w:val="24"/>
        </w:rPr>
        <w:t>Duration of Separation:</w:t>
      </w:r>
      <w:r>
        <w:rPr>
          <w:rFonts w:ascii="Times New Roman" w:hAnsi="Times New Roman"/>
          <w:b w:val="0"/>
          <w:i w:val="0"/>
          <w:sz w:val="24"/>
        </w:rPr>
        <w:t xml:space="preserve"> 329+ days of total parent-child separation during L.D.W.'s critical early developmental years (ages 2-3); c. </w:t>
      </w:r>
      <w:r>
        <w:rPr>
          <w:rFonts w:ascii="Times New Roman" w:hAnsi="Times New Roman"/>
          <w:b/>
          <w:i w:val="0"/>
          <w:sz w:val="24"/>
        </w:rPr>
        <w:t>Absence of MCL 722.27a(9) Remedies:</w:t>
      </w:r>
      <w:r>
        <w:rPr>
          <w:rFonts w:ascii="Times New Roman" w:hAnsi="Times New Roman"/>
          <w:b w:val="0"/>
          <w:i w:val="0"/>
          <w:sz w:val="24"/>
        </w:rPr>
        <w:t xml:space="preserve"> Despite wrongful denial of parenting time, no mandatory remedies have been imposed; d. </w:t>
      </w:r>
      <w:r>
        <w:rPr>
          <w:rFonts w:ascii="Times New Roman" w:hAnsi="Times New Roman"/>
          <w:b/>
          <w:i w:val="0"/>
          <w:sz w:val="24"/>
        </w:rPr>
        <w:t>Pattern of Procedural Abuse:</w:t>
      </w:r>
      <w:r>
        <w:rPr>
          <w:rFonts w:ascii="Times New Roman" w:hAnsi="Times New Roman"/>
          <w:b w:val="0"/>
          <w:i w:val="0"/>
          <w:sz w:val="24"/>
        </w:rPr>
        <w:t xml:space="preserve"> The combination of ex parte motions, PPO, and systematic obstruction constitutes a coordinated campaign to sever the father-child relationship. </w:t>
      </w:r>
      <w:r>
        <w:rPr>
          <w:rFonts w:ascii="Times New Roman" w:hAnsi="Times New Roman"/>
          <w:b/>
          <w:i w:val="0"/>
          <w:sz w:val="24"/>
        </w:rPr>
        <w:t>Factor (l) favors Father.</w:t>
      </w:r>
    </w:p>
    <w:p>
      <w:pPr>
        <w:spacing w:line="480" w:lineRule="auto" w:after="0" w:before="0"/>
      </w:pPr>
      <w:r>
        <w:rPr>
          <w:rFonts w:ascii="Times New Roman" w:hAnsi="Times New Roman"/>
          <w:b/>
          <w:i w:val="0"/>
          <w:sz w:val="24"/>
        </w:rPr>
        <w:t>Conclusion:</w:t>
      </w:r>
      <w:r>
        <w:rPr>
          <w:rFonts w:ascii="Times New Roman" w:hAnsi="Times New Roman"/>
          <w:b w:val="0"/>
          <w:i w:val="0"/>
          <w:sz w:val="24"/>
        </w:rPr>
        <w:t xml:space="preserve"> Of the twelve best interest factors, Factors (a), (b), (f), (g), (j), (k), and (l) favor Father; Factors (c), (d), (e), and (h) are neutral; and Factor (i) is inapplicable. The overwhelming weight of the best interest analysis — particularly the decisive Factor (j) and the 329+ day separation — supports modification of custody in Father's favor.</w:t>
      </w:r>
    </w:p>
    <w:p>
      <w:r>
        <w:br w:type="page"/>
      </w:r>
    </w:p>
    <w:p>
      <w:pPr>
        <w:spacing w:line="480" w:lineRule="auto" w:after="240" w:before="0"/>
        <w:jc w:val="center"/>
      </w:pPr>
      <w:r>
        <w:rPr>
          <w:rFonts w:ascii="Times New Roman" w:hAnsi="Times New Roman"/>
          <w:b/>
          <w:i w:val="0"/>
          <w:sz w:val="24"/>
        </w:rPr>
        <w:t>PART III: ESTABLISHED CUSTODIAL ENVIRONMENT ANALYSIS</w:t>
      </w:r>
    </w:p>
    <w:p>
      <w:pPr>
        <w:spacing w:line="480" w:lineRule="auto" w:after="0" w:before="0"/>
      </w:pPr>
      <w:r>
        <w:rPr>
          <w:rFonts w:ascii="Times New Roman" w:hAnsi="Times New Roman"/>
          <w:b/>
          <w:i w:val="0"/>
          <w:sz w:val="24"/>
        </w:rPr>
        <w:t>Issue:</w:t>
      </w:r>
      <w:r>
        <w:rPr>
          <w:rFonts w:ascii="Times New Roman" w:hAnsi="Times New Roman"/>
          <w:b w:val="0"/>
          <w:i w:val="0"/>
          <w:sz w:val="24"/>
        </w:rPr>
        <w:t xml:space="preserve"> Whether an established custodial environment (ECE) exists and what burden of proof applies.</w:t>
      </w:r>
    </w:p>
    <w:p>
      <w:pPr>
        <w:spacing w:line="480" w:lineRule="auto" w:after="0" w:before="0"/>
      </w:pPr>
      <w:r>
        <w:rPr>
          <w:rFonts w:ascii="Times New Roman" w:hAnsi="Times New Roman"/>
          <w:b/>
          <w:i w:val="0"/>
          <w:sz w:val="24"/>
        </w:rPr>
        <w:t>Rule:</w:t>
      </w:r>
      <w:r>
        <w:rPr>
          <w:rFonts w:ascii="Times New Roman" w:hAnsi="Times New Roman"/>
          <w:b w:val="0"/>
          <w:i w:val="0"/>
          <w:sz w:val="24"/>
        </w:rPr>
        <w:t xml:space="preserve"> MCL 722.27(1)(c) provides that if an ECE exists, the party seeking modification must prove by clear and convincing evidence that the modification is in the child's best interest. An ECE is established when "over an appreciable time the child naturally looks to the custodial parent for guidance, discipline, the necessities of life, and parental comfort." </w:t>
      </w:r>
      <w:r>
        <w:rPr>
          <w:rFonts w:ascii="Times New Roman" w:hAnsi="Times New Roman"/>
          <w:b w:val="0"/>
          <w:i/>
          <w:sz w:val="24"/>
        </w:rPr>
        <w:t>Id.</w:t>
      </w:r>
      <w:r>
        <w:rPr>
          <w:rFonts w:ascii="Times New Roman" w:hAnsi="Times New Roman"/>
          <w:b w:val="0"/>
          <w:i w:val="0"/>
          <w:sz w:val="24"/>
        </w:rPr>
        <w:t xml:space="preserve">; </w:t>
      </w:r>
      <w:r>
        <w:rPr>
          <w:rFonts w:ascii="Times New Roman" w:hAnsi="Times New Roman"/>
          <w:b w:val="0"/>
          <w:i/>
          <w:sz w:val="24"/>
        </w:rPr>
        <w:t>Hunter v. Hunter</w:t>
      </w:r>
      <w:r>
        <w:rPr>
          <w:rFonts w:ascii="Times New Roman" w:hAnsi="Times New Roman"/>
          <w:b w:val="0"/>
          <w:i w:val="0"/>
          <w:sz w:val="24"/>
        </w:rPr>
        <w:t>, 484 Mich 247, 265; 771 NW2d 694 (2009).</w:t>
      </w:r>
    </w:p>
    <w:p>
      <w:pPr>
        <w:spacing w:line="480" w:lineRule="auto" w:after="0" w:before="0"/>
      </w:pPr>
      <w:r>
        <w:rPr>
          <w:rFonts w:ascii="Times New Roman" w:hAnsi="Times New Roman"/>
          <w:b/>
          <w:i w:val="0"/>
          <w:sz w:val="24"/>
        </w:rPr>
        <w:t>Application:</w:t>
      </w:r>
    </w:p>
    <w:p>
      <w:pPr>
        <w:spacing w:line="480" w:lineRule="auto" w:after="0" w:before="0"/>
      </w:pPr>
      <w:r>
        <w:rPr>
          <w:rFonts w:ascii="Times New Roman" w:hAnsi="Times New Roman"/>
          <w:b/>
          <w:sz w:val="24"/>
        </w:rPr>
        <w:t xml:space="preserve">36. </w:t>
      </w:r>
      <w:r>
        <w:rPr>
          <w:rFonts w:ascii="Times New Roman" w:hAnsi="Times New Roman"/>
          <w:b w:val="0"/>
          <w:i w:val="0"/>
          <w:sz w:val="24"/>
        </w:rPr>
        <w:t>Prior to the August 2025 ex parte orders, an ECE may have existed with both parents, as L.D.W. had regular contact with Father and Mother. The court-imposed 329+ day separation has artificially disrupted this dual ECE.</w:t>
      </w:r>
    </w:p>
    <w:p>
      <w:pPr>
        <w:spacing w:line="480" w:lineRule="auto" w:after="0" w:before="0"/>
      </w:pPr>
      <w:r>
        <w:rPr>
          <w:rFonts w:ascii="Times New Roman" w:hAnsi="Times New Roman"/>
          <w:b/>
          <w:sz w:val="24"/>
        </w:rPr>
        <w:t xml:space="preserve">37. </w:t>
      </w:r>
      <w:r>
        <w:rPr>
          <w:rFonts w:ascii="Times New Roman" w:hAnsi="Times New Roman"/>
          <w:b w:val="0"/>
          <w:i w:val="0"/>
          <w:sz w:val="24"/>
        </w:rPr>
        <w:t>To the extent an ECE now exists solely with Mother, it was created by the very ex parte orders that are being challenged as procedurally deficient. The Court should not allow a court-manufactured status quo — created without proper findings, without an evidentiary hearing, and without compliance with MCR 3.206(B)(5)-(6) — to be weaponized as an obstacle to correction.</w:t>
      </w:r>
    </w:p>
    <w:p>
      <w:pPr>
        <w:spacing w:line="480" w:lineRule="auto" w:after="0" w:before="0"/>
      </w:pPr>
      <w:r>
        <w:rPr>
          <w:rFonts w:ascii="Times New Roman" w:hAnsi="Times New Roman"/>
          <w:b/>
          <w:sz w:val="24"/>
        </w:rPr>
        <w:t xml:space="preserve">38. </w:t>
      </w:r>
      <w:r>
        <w:rPr>
          <w:rFonts w:ascii="Times New Roman" w:hAnsi="Times New Roman"/>
          <w:b w:val="0"/>
          <w:i w:val="0"/>
          <w:sz w:val="24"/>
        </w:rPr>
        <w:t>Even under the heightened clear and convincing evidence standard, the best interest analysis above — particularly the overwhelming evidence under Factor (j) and the documented parental alienation campaign — satisfies this burden.</w:t>
      </w:r>
    </w:p>
    <w:p>
      <w:pPr>
        <w:spacing w:line="480" w:lineRule="auto" w:after="0" w:before="0"/>
      </w:pPr>
      <w:r>
        <w:rPr>
          <w:rFonts w:ascii="Times New Roman" w:hAnsi="Times New Roman"/>
          <w:b/>
          <w:i w:val="0"/>
          <w:sz w:val="24"/>
        </w:rPr>
        <w:t>Conclusion:</w:t>
      </w:r>
      <w:r>
        <w:rPr>
          <w:rFonts w:ascii="Times New Roman" w:hAnsi="Times New Roman"/>
          <w:b w:val="0"/>
          <w:i w:val="0"/>
          <w:sz w:val="24"/>
        </w:rPr>
        <w:t xml:space="preserve"> Whether the standard is preponderance or clear and convincing, the evidence demonstrates that custody modification is in L.D.W.'s best interests.</w:t>
      </w:r>
    </w:p>
    <w:p>
      <w:r>
        <w:br w:type="page"/>
      </w:r>
    </w:p>
    <w:p>
      <w:pPr>
        <w:spacing w:line="480" w:lineRule="auto" w:after="240" w:before="0"/>
        <w:jc w:val="center"/>
      </w:pPr>
      <w:r>
        <w:rPr>
          <w:rFonts w:ascii="Times New Roman" w:hAnsi="Times New Roman"/>
          <w:b/>
          <w:i w:val="0"/>
          <w:sz w:val="24"/>
        </w:rPr>
        <w:t>PART IV: PRAYER FOR RELIEF</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respectfully requests that this Honorable Court:</w:t>
      </w:r>
    </w:p>
    <w:p>
      <w:pPr>
        <w:spacing w:line="480" w:lineRule="auto" w:after="0" w:before="0"/>
      </w:pPr>
      <w:r>
        <w:rPr>
          <w:rFonts w:ascii="Times New Roman" w:hAnsi="Times New Roman"/>
          <w:b/>
          <w:sz w:val="24"/>
        </w:rPr>
        <w:t xml:space="preserve">1. </w:t>
      </w:r>
      <w:r>
        <w:rPr>
          <w:rFonts w:ascii="Times New Roman" w:hAnsi="Times New Roman"/>
          <w:b/>
          <w:i w:val="0"/>
          <w:sz w:val="24"/>
        </w:rPr>
        <w:t>FIND</w:t>
      </w:r>
      <w:r>
        <w:rPr>
          <w:rFonts w:ascii="Times New Roman" w:hAnsi="Times New Roman"/>
          <w:b w:val="0"/>
          <w:i w:val="0"/>
          <w:sz w:val="24"/>
        </w:rPr>
        <w:t xml:space="preserve"> that proper cause and a change of circumstances exist under MCL 722.27(1)(c) and </w:t>
      </w:r>
      <w:r>
        <w:rPr>
          <w:rFonts w:ascii="Times New Roman" w:hAnsi="Times New Roman"/>
          <w:b w:val="0"/>
          <w:i/>
          <w:sz w:val="24"/>
        </w:rPr>
        <w:t>Vodvarka v Grasher</w:t>
      </w:r>
      <w:r>
        <w:rPr>
          <w:rFonts w:ascii="Times New Roman" w:hAnsi="Times New Roman"/>
          <w:b w:val="0"/>
          <w:i w:val="0"/>
          <w:sz w:val="24"/>
        </w:rPr>
        <w:t>, 259 Mich App 1 (2003), sufficient to warrant reopening the custody determination;</w:t>
      </w:r>
    </w:p>
    <w:p>
      <w:pPr>
        <w:spacing w:line="480" w:lineRule="auto" w:after="0" w:before="0"/>
      </w:pPr>
      <w:r>
        <w:rPr>
          <w:rFonts w:ascii="Times New Roman" w:hAnsi="Times New Roman"/>
          <w:b/>
          <w:sz w:val="24"/>
        </w:rPr>
        <w:t xml:space="preserve">2. </w:t>
      </w:r>
      <w:r>
        <w:rPr>
          <w:rFonts w:ascii="Times New Roman" w:hAnsi="Times New Roman"/>
          <w:b/>
          <w:i w:val="0"/>
          <w:sz w:val="24"/>
        </w:rPr>
        <w:t>CONDUCT</w:t>
      </w:r>
      <w:r>
        <w:rPr>
          <w:rFonts w:ascii="Times New Roman" w:hAnsi="Times New Roman"/>
          <w:b w:val="0"/>
          <w:i w:val="0"/>
          <w:sz w:val="24"/>
        </w:rPr>
        <w:t xml:space="preserve"> a full evidentiary hearing on the best interest factors under MCL 722.23(a)-(l);</w:t>
      </w:r>
    </w:p>
    <w:p>
      <w:pPr>
        <w:spacing w:line="480" w:lineRule="auto" w:after="0" w:before="0"/>
      </w:pPr>
      <w:r>
        <w:rPr>
          <w:rFonts w:ascii="Times New Roman" w:hAnsi="Times New Roman"/>
          <w:b/>
          <w:sz w:val="24"/>
        </w:rPr>
        <w:t xml:space="preserve">3. </w:t>
      </w:r>
      <w:r>
        <w:rPr>
          <w:rFonts w:ascii="Times New Roman" w:hAnsi="Times New Roman"/>
          <w:b/>
          <w:i w:val="0"/>
          <w:sz w:val="24"/>
        </w:rPr>
        <w:t>MODIFY</w:t>
      </w:r>
      <w:r>
        <w:rPr>
          <w:rFonts w:ascii="Times New Roman" w:hAnsi="Times New Roman"/>
          <w:b w:val="0"/>
          <w:i w:val="0"/>
          <w:sz w:val="24"/>
        </w:rPr>
        <w:t xml:space="preserve"> the existing custody arrangement to award Plaintiff primary physical custody of L.D.W., or in the alternative, restore joint custody with a meaningful parenting time schedule;</w:t>
      </w:r>
    </w:p>
    <w:p>
      <w:pPr>
        <w:spacing w:line="480" w:lineRule="auto" w:after="0" w:before="0"/>
      </w:pPr>
      <w:r>
        <w:rPr>
          <w:rFonts w:ascii="Times New Roman" w:hAnsi="Times New Roman"/>
          <w:b/>
          <w:sz w:val="24"/>
        </w:rPr>
        <w:t xml:space="preserve">4. </w:t>
      </w:r>
      <w:r>
        <w:rPr>
          <w:rFonts w:ascii="Times New Roman" w:hAnsi="Times New Roman"/>
          <w:b/>
          <w:i w:val="0"/>
          <w:sz w:val="24"/>
        </w:rPr>
        <w:t>ORDER</w:t>
      </w:r>
      <w:r>
        <w:rPr>
          <w:rFonts w:ascii="Times New Roman" w:hAnsi="Times New Roman"/>
          <w:b w:val="0"/>
          <w:i w:val="0"/>
          <w:sz w:val="24"/>
        </w:rPr>
        <w:t xml:space="preserve"> make-up parenting time pursuant to MCL 722.27a(9)(b) for the full 329+ days of wrongful denial;</w:t>
      </w:r>
    </w:p>
    <w:p>
      <w:pPr>
        <w:spacing w:line="480" w:lineRule="auto" w:after="0" w:before="0"/>
      </w:pPr>
      <w:r>
        <w:rPr>
          <w:rFonts w:ascii="Times New Roman" w:hAnsi="Times New Roman"/>
          <w:b/>
          <w:sz w:val="24"/>
        </w:rPr>
        <w:t xml:space="preserve">5. </w:t>
      </w:r>
      <w:r>
        <w:rPr>
          <w:rFonts w:ascii="Times New Roman" w:hAnsi="Times New Roman"/>
          <w:b/>
          <w:i w:val="0"/>
          <w:sz w:val="24"/>
        </w:rPr>
        <w:t>IMPOSE</w:t>
      </w:r>
      <w:r>
        <w:rPr>
          <w:rFonts w:ascii="Times New Roman" w:hAnsi="Times New Roman"/>
          <w:b w:val="0"/>
          <w:i w:val="0"/>
          <w:sz w:val="24"/>
        </w:rPr>
        <w:t xml:space="preserve"> such remedies as are mandatory under MCL 722.27a(9) for wrongful denial of parenting time;</w:t>
      </w:r>
    </w:p>
    <w:p>
      <w:pPr>
        <w:spacing w:line="480" w:lineRule="auto" w:after="0" w:before="0"/>
      </w:pPr>
      <w:r>
        <w:rPr>
          <w:rFonts w:ascii="Times New Roman" w:hAnsi="Times New Roman"/>
          <w:b/>
          <w:sz w:val="24"/>
        </w:rPr>
        <w:t xml:space="preserve">6. </w:t>
      </w:r>
      <w:r>
        <w:rPr>
          <w:rFonts w:ascii="Times New Roman" w:hAnsi="Times New Roman"/>
          <w:b/>
          <w:i w:val="0"/>
          <w:sz w:val="24"/>
        </w:rPr>
        <w:t>ORDER</w:t>
      </w:r>
      <w:r>
        <w:rPr>
          <w:rFonts w:ascii="Times New Roman" w:hAnsi="Times New Roman"/>
          <w:b w:val="0"/>
          <w:i w:val="0"/>
          <w:sz w:val="24"/>
        </w:rPr>
        <w:t xml:space="preserve"> Defendant to undergo evaluation regarding parental alienation and willingness to facilitate the parent-child relationship under MCL 722.23(j);</w:t>
      </w:r>
    </w:p>
    <w:p>
      <w:pPr>
        <w:spacing w:line="480" w:lineRule="auto" w:after="0" w:before="0"/>
      </w:pPr>
      <w:r>
        <w:rPr>
          <w:rFonts w:ascii="Times New Roman" w:hAnsi="Times New Roman"/>
          <w:b/>
          <w:sz w:val="24"/>
        </w:rPr>
        <w:t xml:space="preserve">7. </w:t>
      </w:r>
      <w:r>
        <w:rPr>
          <w:rFonts w:ascii="Times New Roman" w:hAnsi="Times New Roman"/>
          <w:b/>
          <w:i w:val="0"/>
          <w:sz w:val="24"/>
        </w:rPr>
        <w:t>AWARD</w:t>
      </w:r>
      <w:r>
        <w:rPr>
          <w:rFonts w:ascii="Times New Roman" w:hAnsi="Times New Roman"/>
          <w:b w:val="0"/>
          <w:i w:val="0"/>
          <w:sz w:val="24"/>
        </w:rPr>
        <w:t xml:space="preserve"> Father reasonable costs pursuant to MCL 722.27a(9)(d);</w:t>
      </w:r>
    </w:p>
    <w:p>
      <w:pPr>
        <w:spacing w:line="480" w:lineRule="auto" w:after="0" w:before="0"/>
      </w:pPr>
      <w:r>
        <w:rPr>
          <w:rFonts w:ascii="Times New Roman" w:hAnsi="Times New Roman"/>
          <w:b/>
          <w:sz w:val="24"/>
        </w:rPr>
        <w:t xml:space="preserve">8. </w:t>
      </w:r>
      <w:r>
        <w:rPr>
          <w:rFonts w:ascii="Times New Roman" w:hAnsi="Times New Roman"/>
          <w:b/>
          <w:i w:val="0"/>
          <w:sz w:val="24"/>
        </w:rPr>
        <w:t>GRANT</w:t>
      </w:r>
      <w:r>
        <w:rPr>
          <w:rFonts w:ascii="Times New Roman" w:hAnsi="Times New Roman"/>
          <w:b w:val="0"/>
          <w:i w:val="0"/>
          <w:sz w:val="24"/>
        </w:rPr>
        <w:t xml:space="preserve"> such other and further relief as this Court deems just and equitable.</w:t>
      </w:r>
    </w:p>
    <w:p>
      <w:r>
        <w:br w:type="page"/>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Road, Lot 17 Laketon Township, Michigan 49445 Telephone: (231) 903-5690</w:t>
      </w:r>
    </w:p>
    <w:p>
      <w:pPr>
        <w:spacing w:line="480" w:lineRule="auto" w:after="0" w:before="0"/>
      </w:pPr>
      <w:r>
        <w:rPr>
          <w:rFonts w:ascii="Times New Roman" w:hAnsi="Times New Roman"/>
          <w:b w:val="0"/>
          <w:i w:val="0"/>
          <w:sz w:val="24"/>
        </w:rPr>
        <w:t>Date: _________________</w:t>
      </w:r>
    </w:p>
    <w:p>
      <w:r>
        <w:br w:type="page"/>
      </w:r>
    </w:p>
    <w:p>
      <w:pPr>
        <w:spacing w:line="480" w:lineRule="auto" w:after="240" w:before="0"/>
        <w:jc w:val="center"/>
      </w:pPr>
      <w:r>
        <w:rPr>
          <w:rFonts w:ascii="Times New Roman" w:hAnsi="Times New Roman"/>
          <w:b/>
          <w:i w:val="0"/>
          <w:sz w:val="24"/>
        </w:rPr>
        <w:t>VERIFICATION</w:t>
      </w:r>
    </w:p>
    <w:p>
      <w:pPr>
        <w:spacing w:line="480" w:lineRule="auto" w:after="0" w:before="0"/>
      </w:pPr>
      <w:r>
        <w:rPr>
          <w:rFonts w:ascii="Times New Roman" w:hAnsi="Times New Roman"/>
          <w:b w:val="0"/>
          <w:i w:val="0"/>
          <w:sz w:val="24"/>
        </w:rPr>
        <w:t>STATE OF MICHIGAN  ) ) ss. COUNTY OF MUSKEGON )</w:t>
      </w:r>
    </w:p>
    <w:p>
      <w:pPr>
        <w:spacing w:line="480" w:lineRule="auto" w:after="0" w:before="0"/>
      </w:pPr>
      <w:r>
        <w:rPr>
          <w:rFonts w:ascii="Times New Roman" w:hAnsi="Times New Roman"/>
          <w:b w:val="0"/>
          <w:i w:val="0"/>
          <w:sz w:val="24"/>
        </w:rPr>
        <w:t>I, Andrew J. Pigors, state under penalty of perjury that the facts stated in this Motion are true to the best of my information, knowledge, and belief.</w:t>
      </w:r>
    </w:p>
    <w:p>
      <w:r>
        <w:br w:type="page"/>
      </w:r>
    </w:p>
    <w:p>
      <w:pPr>
        <w:spacing w:line="480" w:lineRule="auto" w:after="0" w:before="0"/>
      </w:pPr>
      <w:r>
        <w:rPr>
          <w:rFonts w:ascii="Times New Roman" w:hAnsi="Times New Roman"/>
          <w:b w:val="0"/>
          <w:i w:val="0"/>
          <w:sz w:val="24"/>
        </w:rPr>
        <w:t>Andrew J. Pigors</w:t>
      </w:r>
    </w:p>
    <w:p>
      <w:pPr>
        <w:spacing w:line="480" w:lineRule="auto" w:after="0" w:before="0"/>
      </w:pPr>
      <w:r>
        <w:rPr>
          <w:rFonts w:ascii="Times New Roman" w:hAnsi="Times New Roman"/>
          <w:b w:val="0"/>
          <w:i w:val="0"/>
          <w:sz w:val="24"/>
        </w:rPr>
        <w:t>Subscribed and sworn to before me this _____ day of _________________, 2026.</w:t>
      </w:r>
    </w:p>
    <w:p>
      <w:r>
        <w:br w:type="page"/>
      </w:r>
    </w:p>
    <w:p>
      <w:pPr>
        <w:spacing w:line="480" w:lineRule="auto" w:after="0" w:before="0"/>
      </w:pPr>
      <w:r>
        <w:rPr>
          <w:rFonts w:ascii="Times New Roman" w:hAnsi="Times New Roman"/>
          <w:b w:val="0"/>
          <w:i w:val="0"/>
          <w:sz w:val="24"/>
        </w:rPr>
        <w:t>Notary Public, Muskegon County, Michigan My Commission Expires: _________________</w:t>
      </w:r>
    </w:p>
    <w:p>
      <w:r>
        <w:br w:type="page"/>
      </w:r>
    </w:p>
    <w:p>
      <w:pPr>
        <w:spacing w:line="480" w:lineRule="auto" w:after="240" w:before="0"/>
        <w:jc w:val="center"/>
      </w:pPr>
      <w:r>
        <w:rPr>
          <w:rFonts w:ascii="Times New Roman" w:hAnsi="Times New Roman"/>
          <w:b/>
          <w:i w:val="0"/>
          <w:sz w:val="24"/>
        </w:rPr>
        <w:t>CERTIFICATE OF SERVICE</w:t>
      </w:r>
    </w:p>
    <w:p>
      <w:pPr>
        <w:spacing w:line="480" w:lineRule="auto" w:after="0" w:before="0"/>
      </w:pPr>
      <w:r>
        <w:rPr>
          <w:rFonts w:ascii="Times New Roman" w:hAnsi="Times New Roman"/>
          <w:b w:val="0"/>
          <w:i w:val="0"/>
          <w:sz w:val="24"/>
        </w:rPr>
        <w:t xml:space="preserve">I, Andrew J. Pigors, hereby certify that on _________________, 2026, I served a true and complete copy of this </w:t>
      </w:r>
      <w:r>
        <w:rPr>
          <w:rFonts w:ascii="Times New Roman" w:hAnsi="Times New Roman"/>
          <w:b/>
          <w:i w:val="0"/>
          <w:sz w:val="24"/>
        </w:rPr>
        <w:t>Motion to Modify Custody</w:t>
      </w:r>
      <w:r>
        <w:rPr>
          <w:rFonts w:ascii="Times New Roman" w:hAnsi="Times New Roman"/>
          <w:b w:val="0"/>
          <w:i w:val="0"/>
          <w:sz w:val="24"/>
        </w:rPr>
        <w:t xml:space="preserve"> upon all parties by first-class mail and electronic service:</w:t>
      </w:r>
    </w:p>
    <w:p>
      <w:pPr>
        <w:spacing w:line="480" w:lineRule="auto" w:after="0" w:before="0"/>
      </w:pPr>
      <w:r>
        <w:rPr>
          <w:rFonts w:ascii="Times New Roman" w:hAnsi="Times New Roman"/>
          <w:b w:val="0"/>
          <w:i w:val="0"/>
          <w:sz w:val="24"/>
        </w:rPr>
        <w:t>Emily A. Watson (fka Pigors) c/o Jennifer L. Barnes, Esq. Barnes Law Firm, PLLC 880 Jefferson Street, Suite B Muskegon, Michigan 49440</w:t>
      </w:r>
    </w:p>
    <w:p>
      <w:r>
        <w:br w:type="page"/>
      </w:r>
    </w:p>
    <w:p>
      <w:pPr>
        <w:spacing w:line="480" w:lineRule="auto" w:after="0" w:before="0"/>
      </w:pPr>
      <w:r>
        <w:rPr>
          <w:rFonts w:ascii="Times New Roman" w:hAnsi="Times New Roman"/>
          <w:b w:val="0"/>
          <w:i w:val="0"/>
          <w:sz w:val="24"/>
        </w:rPr>
        <w:t>Andrew J. Pigors Date: _________________</w:t>
      </w:r>
    </w:p>
    <w:p>
      <w:r>
        <w:br w:type="page"/>
      </w:r>
    </w:p>
    <w:p>
      <w:pPr>
        <w:spacing w:line="480" w:lineRule="auto" w:after="240" w:before="0"/>
        <w:jc w:val="center"/>
      </w:pPr>
      <w:r>
        <w:rPr>
          <w:rFonts w:ascii="Times New Roman" w:hAnsi="Times New Roman"/>
          <w:b/>
          <w:i w:val="0"/>
          <w:sz w:val="24"/>
        </w:rPr>
        <w:t>EXHIBIT LIST</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Exhibit</w:t>
            </w:r>
          </w:p>
        </w:tc>
        <w:tc>
          <w:tcPr>
            <w:tcW w:type="dxa" w:w="4680"/>
          </w:tcPr>
          <w:p>
            <w:pPr>
              <w:spacing w:line="240" w:lineRule="auto"/>
            </w:pPr>
            <w:r/>
            <w:r>
              <w:rPr>
                <w:rFonts w:ascii="Times New Roman" w:hAnsi="Times New Roman"/>
                <w:b/>
                <w:sz w:val="24"/>
              </w:rPr>
              <w:t>Description</w:t>
            </w:r>
          </w:p>
        </w:tc>
      </w:tr>
      <w:tr>
        <w:tc>
          <w:tcPr>
            <w:tcW w:type="dxa" w:w="4680"/>
          </w:tcPr>
          <w:p>
            <w:pPr>
              <w:spacing w:line="240" w:lineRule="auto"/>
            </w:pPr>
            <w:r/>
            <w:r>
              <w:rPr>
                <w:rFonts w:ascii="Times New Roman" w:hAnsi="Times New Roman"/>
                <w:b w:val="0"/>
                <w:i w:val="0"/>
                <w:sz w:val="24"/>
              </w:rPr>
              <w:t>A</w:t>
            </w:r>
          </w:p>
        </w:tc>
        <w:tc>
          <w:tcPr>
            <w:tcW w:type="dxa" w:w="4680"/>
          </w:tcPr>
          <w:p>
            <w:pPr>
              <w:spacing w:line="240" w:lineRule="auto"/>
            </w:pPr>
            <w:r/>
            <w:r>
              <w:rPr>
                <w:rFonts w:ascii="Times New Roman" w:hAnsi="Times New Roman"/>
                <w:b w:val="0"/>
                <w:i w:val="0"/>
                <w:sz w:val="24"/>
              </w:rPr>
              <w:t>Proposed Order — Modification of Custody (see Proposed Orders Bundle)</w:t>
            </w:r>
          </w:p>
        </w:tc>
      </w:tr>
      <w:tr>
        <w:tc>
          <w:tcPr>
            <w:tcW w:type="dxa" w:w="4680"/>
          </w:tcPr>
          <w:p>
            <w:pPr>
              <w:spacing w:line="240" w:lineRule="auto"/>
            </w:pPr>
            <w:r/>
            <w:r>
              <w:rPr>
                <w:rFonts w:ascii="Times New Roman" w:hAnsi="Times New Roman"/>
                <w:b w:val="0"/>
                <w:i w:val="0"/>
                <w:sz w:val="24"/>
              </w:rPr>
              <w:t>B</w:t>
            </w:r>
          </w:p>
        </w:tc>
        <w:tc>
          <w:tcPr>
            <w:tcW w:type="dxa" w:w="4680"/>
          </w:tcPr>
          <w:p>
            <w:pPr>
              <w:spacing w:line="240" w:lineRule="auto"/>
            </w:pPr>
            <w:r/>
            <w:r>
              <w:rPr>
                <w:rFonts w:ascii="Times New Roman" w:hAnsi="Times New Roman"/>
                <w:b w:val="0"/>
                <w:i w:val="0"/>
                <w:sz w:val="24"/>
              </w:rPr>
              <w:t>Negative Narcotics Screen Results</w:t>
            </w:r>
          </w:p>
        </w:tc>
      </w:tr>
      <w:tr>
        <w:tc>
          <w:tcPr>
            <w:tcW w:type="dxa" w:w="4680"/>
          </w:tcPr>
          <w:p>
            <w:pPr>
              <w:spacing w:line="240" w:lineRule="auto"/>
            </w:pPr>
            <w:r/>
            <w:r>
              <w:rPr>
                <w:rFonts w:ascii="Times New Roman" w:hAnsi="Times New Roman"/>
                <w:b w:val="0"/>
                <w:i w:val="0"/>
                <w:sz w:val="24"/>
              </w:rPr>
              <w:t>C</w:t>
            </w:r>
          </w:p>
        </w:tc>
        <w:tc>
          <w:tcPr>
            <w:tcW w:type="dxa" w:w="4680"/>
          </w:tcPr>
          <w:p>
            <w:pPr>
              <w:spacing w:line="240" w:lineRule="auto"/>
            </w:pPr>
            <w:r/>
            <w:r>
              <w:rPr>
                <w:rFonts w:ascii="Times New Roman" w:hAnsi="Times New Roman"/>
                <w:b w:val="0"/>
                <w:i w:val="0"/>
                <w:sz w:val="24"/>
              </w:rPr>
              <w:t>Timeline of 329+ Day Parent-Child Separation</w:t>
            </w:r>
          </w:p>
        </w:tc>
      </w:tr>
      <w:tr>
        <w:tc>
          <w:tcPr>
            <w:tcW w:type="dxa" w:w="4680"/>
          </w:tcPr>
          <w:p>
            <w:pPr>
              <w:spacing w:line="240" w:lineRule="auto"/>
            </w:pPr>
            <w:r/>
            <w:r>
              <w:rPr>
                <w:rFonts w:ascii="Times New Roman" w:hAnsi="Times New Roman"/>
                <w:b w:val="0"/>
                <w:i w:val="0"/>
                <w:sz w:val="24"/>
              </w:rPr>
              <w:t>D</w:t>
            </w:r>
          </w:p>
        </w:tc>
        <w:tc>
          <w:tcPr>
            <w:tcW w:type="dxa" w:w="4680"/>
          </w:tcPr>
          <w:p>
            <w:pPr>
              <w:spacing w:line="240" w:lineRule="auto"/>
            </w:pPr>
            <w:r/>
            <w:r>
              <w:rPr>
                <w:rFonts w:ascii="Times New Roman" w:hAnsi="Times New Roman"/>
                <w:b w:val="0"/>
                <w:i w:val="0"/>
                <w:sz w:val="24"/>
              </w:rPr>
              <w:t>Documentation of Parenting Time Denial Pattern</w:t>
            </w:r>
          </w:p>
        </w:tc>
      </w:tr>
      <w:tr>
        <w:tc>
          <w:tcPr>
            <w:tcW w:type="dxa" w:w="4680"/>
          </w:tcPr>
          <w:p>
            <w:pPr>
              <w:spacing w:line="240" w:lineRule="auto"/>
            </w:pPr>
            <w:r/>
            <w:r>
              <w:rPr>
                <w:rFonts w:ascii="Times New Roman" w:hAnsi="Times New Roman"/>
                <w:b w:val="0"/>
                <w:i w:val="0"/>
                <w:sz w:val="24"/>
              </w:rPr>
              <w:t>E</w:t>
            </w:r>
          </w:p>
        </w:tc>
        <w:tc>
          <w:tcPr>
            <w:tcW w:type="dxa" w:w="4680"/>
          </w:tcPr>
          <w:p>
            <w:pPr>
              <w:spacing w:line="240" w:lineRule="auto"/>
            </w:pPr>
            <w:r/>
            <w:r>
              <w:rPr>
                <w:rFonts w:ascii="Times New Roman" w:hAnsi="Times New Roman"/>
                <w:b w:val="0"/>
                <w:i w:val="0"/>
                <w:sz w:val="24"/>
              </w:rPr>
              <w:t>Watson Employment Records — Kent County Prosecutor's Office</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