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EXHIBIT INDEX — MOTION_MODIFY_CUSTODY_V4.md</w:t>
      </w:r>
    </w:p>
    <w:p>
      <w:pPr>
        <w:spacing w:line="240" w:lineRule="auto" w:after="0" w:before="0"/>
      </w:pPr>
      <w:r>
        <w:rPr>
          <w:rFonts w:ascii="Times New Roman" w:hAnsi="Times New Roman"/>
          <w:b w:val="0"/>
          <w:i w:val="0"/>
          <w:sz w:val="24"/>
        </w:rPr>
        <w:t>## Andrew J. Pigors v. Emily A. Watson (fka Pigors)</w:t>
      </w:r>
    </w:p>
    <w:p>
      <w:pPr>
        <w:spacing w:line="24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## Case No. 2024-001507-DC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Auth. Method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without he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Show Cause 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Child Suppor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 (FOC-10/1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orders entered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Order — co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GRANTED (PPO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document contain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2; Case 202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Amended PPO ente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Harassing Calls 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Harassment; comp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902(4), 803(8)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LBSW; 10 pag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Gansen; 8 pa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Protocol) — All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recommended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 look for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902(1), 901(b)(4)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rejecting 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901(b)(1), 901(b)(4), 901(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1:48–2:00 P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902(11), 803(6)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FOC-10d)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Parenting Time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before 10/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cause motions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keeping [her] sa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Case 2023-5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2024-001507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902(4)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Andrew re: be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901(b)(5)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