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before="0"/>
        <w:jc w:val="center"/>
      </w:pPr>
      <w:r>
        <w:rPr>
          <w:rFonts w:ascii="Times New Roman" w:hAnsi="Times New Roman"/>
          <w:b/>
          <w:i w:val="0"/>
          <w:sz w:val="24"/>
        </w:rPr>
        <w:t>STATE OF MICHIGAN</w:t>
      </w:r>
    </w:p>
    <w:p>
      <w:pPr>
        <w:spacing w:line="240" w:lineRule="auto" w:after="0" w:before="0"/>
        <w:jc w:val="center"/>
      </w:pPr>
      <w:r>
        <w:rPr>
          <w:rFonts w:ascii="Times New Roman" w:hAnsi="Times New Roman"/>
          <w:b/>
          <w:i w:val="0"/>
          <w:sz w:val="24"/>
        </w:rPr>
        <w:t># IN THE 14TH JUDICIAL CIRCUIT COURT FOR THE COUNTY OF MUSKEGON</w:t>
      </w:r>
    </w:p>
    <w:p>
      <w:pPr>
        <w:spacing w:line="240" w:lineRule="auto" w:after="0" w:before="0"/>
      </w:pPr>
      <w:r>
        <w:rPr>
          <w:rFonts w:ascii="Times New Roman" w:hAnsi="Times New Roman"/>
          <w:b w:val="0"/>
          <w:i w:val="0"/>
          <w:sz w:val="24"/>
        </w:rPr>
        <w:t># FAMILY DIVISION</w:t>
      </w:r>
    </w:p>
    <w:p>
      <w:pPr>
        <w:spacing w:line="240" w:lineRule="auto" w:after="0" w:before="0"/>
      </w:pPr>
      <w:r>
        <w:rPr>
          <w:rFonts w:ascii="Times New Roman" w:hAnsi="Times New Roman"/>
          <w:b w:val="0"/>
          <w:i w:val="0"/>
          <w:sz w:val="24"/>
        </w:rPr>
        <w:t>---</w:t>
      </w:r>
    </w:p>
    <w:p>
      <w:pPr>
        <w:spacing w:line="240" w:lineRule="auto" w:after="0" w:before="0"/>
      </w:pPr>
      <w:r>
        <w:rPr>
          <w:rFonts w:ascii="Times New Roman" w:hAnsi="Times New Roman"/>
          <w:b/>
          <w:i w:val="0"/>
          <w:sz w:val="24"/>
        </w:rPr>
        <w:t>ANDREW J. PIGORS,</w:t>
      </w:r>
    </w:p>
    <w:p>
      <w:pPr>
        <w:spacing w:line="240" w:lineRule="auto" w:after="0" w:before="0"/>
      </w:pPr>
      <w:r>
        <w:rPr>
          <w:rFonts w:ascii="Times New Roman" w:hAnsi="Times New Roman"/>
          <w:b w:val="0"/>
          <w:i w:val="0"/>
          <w:sz w:val="24"/>
        </w:rPr>
        <w:t>Plaintiff/Father,</w:t>
      </w:r>
    </w:p>
    <w:p>
      <w:pPr>
        <w:spacing w:line="480" w:lineRule="auto" w:after="0" w:before="0"/>
      </w:pPr>
      <w:r>
        <w:rPr>
          <w:rFonts w:ascii="Times New Roman" w:hAnsi="Times New Roman"/>
          <w:b/>
          <w:i w:val="0"/>
          <w:sz w:val="24"/>
        </w:rPr>
        <w:t>v.</w:t>
      </w:r>
    </w:p>
    <w:p>
      <w:pPr>
        <w:spacing w:line="480" w:lineRule="auto" w:after="0" w:before="0"/>
      </w:pPr>
      <w:r>
        <w:rPr>
          <w:rFonts w:ascii="Times New Roman" w:hAnsi="Times New Roman"/>
          <w:b/>
          <w:i w:val="0"/>
          <w:sz w:val="24"/>
        </w:rPr>
        <w:t>EMILY WATSON,</w:t>
      </w:r>
      <w:r>
        <w:rPr>
          <w:rFonts w:ascii="Times New Roman" w:hAnsi="Times New Roman"/>
          <w:b w:val="0"/>
          <w:i w:val="0"/>
          <w:sz w:val="24"/>
        </w:rPr>
        <w:t xml:space="preserve"> Defendant/Mother.</w:t>
      </w:r>
    </w:p>
    <w:p>
      <w:pPr>
        <w:spacing w:line="480" w:lineRule="auto" w:after="0" w:before="0"/>
      </w:pPr>
      <w:r>
        <w:rPr>
          <w:rFonts w:ascii="Times New Roman" w:hAnsi="Times New Roman"/>
          <w:b/>
          <w:i w:val="0"/>
          <w:sz w:val="24"/>
        </w:rPr>
        <w:t>Case No. 2024-001507-DC</w:t>
      </w:r>
      <w:r>
        <w:rPr>
          <w:rFonts w:ascii="Times New Roman" w:hAnsi="Times New Roman"/>
          <w:b w:val="0"/>
          <w:i w:val="0"/>
          <w:sz w:val="24"/>
        </w:rPr>
        <w:t xml:space="preserve"> </w:t>
      </w:r>
      <w:r>
        <w:rPr>
          <w:rFonts w:ascii="Times New Roman" w:hAnsi="Times New Roman"/>
          <w:b/>
          <w:i w:val="0"/>
          <w:sz w:val="24"/>
        </w:rPr>
        <w:t>Hon. Jenny L. McNeill</w:t>
      </w:r>
    </w:p>
    <w:p>
      <w:r>
        <w:br w:type="page"/>
      </w:r>
    </w:p>
    <w:p>
      <w:pPr>
        <w:spacing w:line="480" w:lineRule="auto" w:after="240" w:before="0"/>
        <w:jc w:val="center"/>
      </w:pPr>
      <w:r>
        <w:rPr>
          <w:rFonts w:ascii="Times New Roman" w:hAnsi="Times New Roman"/>
          <w:b/>
          <w:i w:val="0"/>
          <w:sz w:val="24"/>
        </w:rPr>
        <w:t>MOTION FOR DISQUALIFICATION OF JUDGE</w:t>
      </w:r>
    </w:p>
    <w:p>
      <w:pPr>
        <w:pStyle w:val="Heading2"/>
      </w:pPr>
      <w:r>
        <w:rPr>
          <w:rFonts w:ascii="Times New Roman" w:hAnsi="Times New Roman"/>
        </w:rPr>
        <w:t>Pursuant to MCR 2.003(C)(1)</w:t>
      </w:r>
    </w:p>
    <w:p>
      <w:r>
        <w:br w:type="page"/>
      </w:r>
    </w:p>
    <w:p>
      <w:pPr>
        <w:spacing w:line="480" w:lineRule="auto" w:after="0" w:before="0"/>
      </w:pPr>
      <w:r>
        <w:rPr>
          <w:rFonts w:ascii="Times New Roman" w:hAnsi="Times New Roman"/>
          <w:b/>
          <w:i w:val="0"/>
          <w:sz w:val="24"/>
        </w:rPr>
        <w:t>Filed by:</w:t>
      </w:r>
      <w:r>
        <w:rPr>
          <w:rFonts w:ascii="Times New Roman" w:hAnsi="Times New Roman"/>
          <w:b w:val="0"/>
          <w:i w:val="0"/>
          <w:sz w:val="24"/>
        </w:rPr>
        <w:t xml:space="preserve"> Andrew J. Pigors, Plaintiff, </w:t>
      </w:r>
      <w:r>
        <w:rPr>
          <w:rFonts w:ascii="Times New Roman" w:hAnsi="Times New Roman"/>
          <w:b w:val="0"/>
          <w:i/>
          <w:sz w:val="24"/>
        </w:rPr>
        <w:t>Pro Se</w:t>
      </w:r>
      <w:r>
        <w:rPr>
          <w:rFonts w:ascii="Times New Roman" w:hAnsi="Times New Roman"/>
          <w:b w:val="0"/>
          <w:i w:val="0"/>
          <w:sz w:val="24"/>
        </w:rPr>
        <w:t xml:space="preserve"> </w:t>
      </w:r>
      <w:r>
        <w:rPr>
          <w:rFonts w:ascii="Times New Roman" w:hAnsi="Times New Roman"/>
          <w:b/>
          <w:i w:val="0"/>
          <w:sz w:val="24"/>
        </w:rPr>
        <w:t>Address:</w:t>
      </w:r>
      <w:r>
        <w:rPr>
          <w:rFonts w:ascii="Times New Roman" w:hAnsi="Times New Roman"/>
          <w:b w:val="0"/>
          <w:i w:val="0"/>
          <w:sz w:val="24"/>
        </w:rPr>
        <w:t xml:space="preserve"> [VERIFY — Movant's current address] </w:t>
      </w:r>
      <w:r>
        <w:rPr>
          <w:rFonts w:ascii="Times New Roman" w:hAnsi="Times New Roman"/>
          <w:b/>
          <w:i w:val="0"/>
          <w:sz w:val="24"/>
        </w:rPr>
        <w:t>Phone:</w:t>
      </w:r>
      <w:r>
        <w:rPr>
          <w:rFonts w:ascii="Times New Roman" w:hAnsi="Times New Roman"/>
          <w:b w:val="0"/>
          <w:i w:val="0"/>
          <w:sz w:val="24"/>
        </w:rPr>
        <w:t xml:space="preserve"> [VERIFY — Movant's phone number] </w:t>
      </w:r>
      <w:r>
        <w:rPr>
          <w:rFonts w:ascii="Times New Roman" w:hAnsi="Times New Roman"/>
          <w:b/>
          <w:i w:val="0"/>
          <w:sz w:val="24"/>
        </w:rPr>
        <w:t>Email:</w:t>
      </w:r>
      <w:r>
        <w:rPr>
          <w:rFonts w:ascii="Times New Roman" w:hAnsi="Times New Roman"/>
          <w:b w:val="0"/>
          <w:i w:val="0"/>
          <w:sz w:val="24"/>
        </w:rPr>
        <w:t xml:space="preserve"> [VERIFY — Movant's email address]</w:t>
      </w:r>
    </w:p>
    <w:p>
      <w:r>
        <w:br w:type="page"/>
      </w:r>
    </w:p>
    <w:p>
      <w:pPr>
        <w:pStyle w:val="Heading2"/>
      </w:pPr>
      <w:r>
        <w:rPr>
          <w:rFonts w:ascii="Times New Roman" w:hAnsi="Times New Roman"/>
        </w:rPr>
        <w:t>TABLE OF CONTENTS</w:t>
      </w:r>
    </w:p>
    <w:p>
      <w:r>
        <w:br w:type="page"/>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Section</w:t>
            </w:r>
          </w:p>
        </w:tc>
        <w:tc>
          <w:tcPr>
            <w:tcW w:type="dxa" w:w="4680"/>
          </w:tcPr>
          <w:p>
            <w:pPr>
              <w:spacing w:line="240" w:lineRule="auto"/>
            </w:pPr>
            <w:r/>
            <w:r>
              <w:rPr>
                <w:rFonts w:ascii="Times New Roman" w:hAnsi="Times New Roman"/>
                <w:b/>
                <w:sz w:val="24"/>
              </w:rPr>
              <w:t>Page</w:t>
            </w:r>
          </w:p>
        </w:tc>
      </w:tr>
      <w:tr>
        <w:tc>
          <w:tcPr>
            <w:tcW w:type="dxa" w:w="4680"/>
          </w:tcPr>
          <w:p>
            <w:pPr>
              <w:spacing w:line="240" w:lineRule="auto"/>
            </w:pPr>
            <w:r/>
            <w:r>
              <w:rPr>
                <w:rFonts w:ascii="Times New Roman" w:hAnsi="Times New Roman"/>
                <w:b w:val="0"/>
                <w:i w:val="0"/>
                <w:sz w:val="24"/>
              </w:rPr>
              <w:t>I. INTRODUCTION</w:t>
            </w:r>
          </w:p>
        </w:tc>
        <w:tc>
          <w:tcPr>
            <w:tcW w:type="dxa" w:w="4680"/>
          </w:tcPr>
          <w:p>
            <w:pPr>
              <w:spacing w:line="240" w:lineRule="auto"/>
            </w:pPr>
            <w:r/>
            <w:r>
              <w:rPr>
                <w:rFonts w:ascii="Times New Roman" w:hAnsi="Times New Roman"/>
                <w:b w:val="0"/>
                <w:i w:val="0"/>
                <w:sz w:val="24"/>
              </w:rPr>
              <w:t>1</w:t>
            </w:r>
          </w:p>
        </w:tc>
      </w:tr>
      <w:tr>
        <w:tc>
          <w:tcPr>
            <w:tcW w:type="dxa" w:w="4680"/>
          </w:tcPr>
          <w:p>
            <w:pPr>
              <w:spacing w:line="240" w:lineRule="auto"/>
            </w:pPr>
            <w:r/>
            <w:r>
              <w:rPr>
                <w:rFonts w:ascii="Times New Roman" w:hAnsi="Times New Roman"/>
                <w:b w:val="0"/>
                <w:i w:val="0"/>
                <w:sz w:val="24"/>
              </w:rPr>
              <w:t>II. STATEMENT OF JURISDICTION AND PROCEDURAL POSTURE</w:t>
            </w:r>
          </w:p>
        </w:tc>
        <w:tc>
          <w:tcPr>
            <w:tcW w:type="dxa" w:w="4680"/>
          </w:tcPr>
          <w:p>
            <w:pPr>
              <w:spacing w:line="240" w:lineRule="auto"/>
            </w:pPr>
            <w:r/>
            <w:r>
              <w:rPr>
                <w:rFonts w:ascii="Times New Roman" w:hAnsi="Times New Roman"/>
                <w:b w:val="0"/>
                <w:i w:val="0"/>
                <w:sz w:val="24"/>
              </w:rPr>
              <w:t>2</w:t>
            </w:r>
          </w:p>
        </w:tc>
      </w:tr>
      <w:tr>
        <w:tc>
          <w:tcPr>
            <w:tcW w:type="dxa" w:w="4680"/>
          </w:tcPr>
          <w:p>
            <w:pPr>
              <w:spacing w:line="240" w:lineRule="auto"/>
            </w:pPr>
            <w:r/>
            <w:r>
              <w:rPr>
                <w:rFonts w:ascii="Times New Roman" w:hAnsi="Times New Roman"/>
                <w:b w:val="0"/>
                <w:i w:val="0"/>
                <w:sz w:val="24"/>
              </w:rPr>
              <w:t>III. FACTUAL BASIS FOR DISQUALIFICATION</w:t>
            </w:r>
          </w:p>
        </w:tc>
        <w:tc>
          <w:tcPr>
            <w:tcW w:type="dxa" w:w="4680"/>
          </w:tcPr>
          <w:p>
            <w:pPr>
              <w:spacing w:line="240" w:lineRule="auto"/>
            </w:pPr>
            <w:r/>
            <w:r>
              <w:rPr>
                <w:rFonts w:ascii="Times New Roman" w:hAnsi="Times New Roman"/>
                <w:b w:val="0"/>
                <w:i w:val="0"/>
                <w:sz w:val="24"/>
              </w:rPr>
              <w:t>3</w:t>
            </w:r>
          </w:p>
        </w:tc>
      </w:tr>
      <w:tr>
        <w:tc>
          <w:tcPr>
            <w:tcW w:type="dxa" w:w="4680"/>
          </w:tcPr>
          <w:p>
            <w:pPr>
              <w:spacing w:line="240" w:lineRule="auto"/>
            </w:pPr>
            <w:r/>
            <w:r>
              <w:rPr>
                <w:rFonts w:ascii="Times New Roman" w:hAnsi="Times New Roman"/>
                <w:b w:val="0"/>
                <w:i w:val="0"/>
                <w:sz w:val="24"/>
              </w:rPr>
              <w:t>IV. LEGAL STANDARD FOR JUDICIAL DISQUALIFICATION</w:t>
            </w:r>
          </w:p>
        </w:tc>
        <w:tc>
          <w:tcPr>
            <w:tcW w:type="dxa" w:w="4680"/>
          </w:tcPr>
          <w:p>
            <w:pPr>
              <w:spacing w:line="240" w:lineRule="auto"/>
            </w:pPr>
            <w:r/>
            <w:r>
              <w:rPr>
                <w:rFonts w:ascii="Times New Roman" w:hAnsi="Times New Roman"/>
                <w:b w:val="0"/>
                <w:i w:val="0"/>
                <w:sz w:val="24"/>
              </w:rPr>
              <w:t>15</w:t>
            </w:r>
          </w:p>
        </w:tc>
      </w:tr>
      <w:tr>
        <w:tc>
          <w:tcPr>
            <w:tcW w:type="dxa" w:w="4680"/>
          </w:tcPr>
          <w:p>
            <w:pPr>
              <w:spacing w:line="240" w:lineRule="auto"/>
            </w:pPr>
            <w:r/>
            <w:r>
              <w:rPr>
                <w:rFonts w:ascii="Times New Roman" w:hAnsi="Times New Roman"/>
                <w:b w:val="0"/>
                <w:i w:val="0"/>
                <w:sz w:val="24"/>
              </w:rPr>
              <w:t>V. ARGUMENT</w:t>
            </w:r>
          </w:p>
        </w:tc>
        <w:tc>
          <w:tcPr>
            <w:tcW w:type="dxa" w:w="4680"/>
          </w:tcPr>
          <w:p>
            <w:pPr>
              <w:spacing w:line="240" w:lineRule="auto"/>
            </w:pPr>
            <w:r/>
            <w:r>
              <w:rPr>
                <w:rFonts w:ascii="Times New Roman" w:hAnsi="Times New Roman"/>
                <w:b w:val="0"/>
                <w:i w:val="0"/>
                <w:sz w:val="24"/>
              </w:rPr>
              <w:t>19</w:t>
            </w:r>
          </w:p>
        </w:tc>
      </w:tr>
      <w:tr>
        <w:tc>
          <w:tcPr>
            <w:tcW w:type="dxa" w:w="4680"/>
          </w:tcPr>
          <w:p>
            <w:pPr>
              <w:spacing w:line="240" w:lineRule="auto"/>
            </w:pPr>
            <w:r/>
            <w:r>
              <w:rPr>
                <w:rFonts w:ascii="Times New Roman" w:hAnsi="Times New Roman"/>
                <w:b w:val="0"/>
                <w:i w:val="0"/>
                <w:sz w:val="24"/>
              </w:rPr>
              <w:t>VI. PRAYER FOR RELIEF</w:t>
            </w:r>
          </w:p>
        </w:tc>
        <w:tc>
          <w:tcPr>
            <w:tcW w:type="dxa" w:w="4680"/>
          </w:tcPr>
          <w:p>
            <w:pPr>
              <w:spacing w:line="240" w:lineRule="auto"/>
            </w:pPr>
            <w:r/>
            <w:r>
              <w:rPr>
                <w:rFonts w:ascii="Times New Roman" w:hAnsi="Times New Roman"/>
                <w:b w:val="0"/>
                <w:i w:val="0"/>
                <w:sz w:val="24"/>
              </w:rPr>
              <w:t>28</w:t>
            </w:r>
          </w:p>
        </w:tc>
      </w:tr>
      <w:tr>
        <w:tc>
          <w:tcPr>
            <w:tcW w:type="dxa" w:w="4680"/>
          </w:tcPr>
          <w:p>
            <w:pPr>
              <w:spacing w:line="240" w:lineRule="auto"/>
            </w:pPr>
            <w:r/>
            <w:r>
              <w:rPr>
                <w:rFonts w:ascii="Times New Roman" w:hAnsi="Times New Roman"/>
                <w:b w:val="0"/>
                <w:i w:val="0"/>
                <w:sz w:val="24"/>
              </w:rPr>
              <w:t>VII. VERIFICATION</w:t>
            </w:r>
          </w:p>
        </w:tc>
        <w:tc>
          <w:tcPr>
            <w:tcW w:type="dxa" w:w="4680"/>
          </w:tcPr>
          <w:p>
            <w:pPr>
              <w:spacing w:line="240" w:lineRule="auto"/>
            </w:pPr>
            <w:r/>
            <w:r>
              <w:rPr>
                <w:rFonts w:ascii="Times New Roman" w:hAnsi="Times New Roman"/>
                <w:b w:val="0"/>
                <w:i w:val="0"/>
                <w:sz w:val="24"/>
              </w:rPr>
              <w:t>29</w:t>
            </w:r>
          </w:p>
        </w:tc>
      </w:tr>
      <w:tr>
        <w:tc>
          <w:tcPr>
            <w:tcW w:type="dxa" w:w="4680"/>
          </w:tcPr>
          <w:p>
            <w:pPr>
              <w:spacing w:line="240" w:lineRule="auto"/>
            </w:pPr>
            <w:r/>
            <w:r>
              <w:rPr>
                <w:rFonts w:ascii="Times New Roman" w:hAnsi="Times New Roman"/>
                <w:b w:val="0"/>
                <w:i w:val="0"/>
                <w:sz w:val="24"/>
              </w:rPr>
              <w:t>VIII. CERTIFICATE OF SERVICE</w:t>
            </w:r>
          </w:p>
        </w:tc>
        <w:tc>
          <w:tcPr>
            <w:tcW w:type="dxa" w:w="4680"/>
          </w:tcPr>
          <w:p>
            <w:pPr>
              <w:spacing w:line="240" w:lineRule="auto"/>
            </w:pPr>
            <w:r/>
            <w:r>
              <w:rPr>
                <w:rFonts w:ascii="Times New Roman" w:hAnsi="Times New Roman"/>
                <w:b w:val="0"/>
                <w:i w:val="0"/>
                <w:sz w:val="24"/>
              </w:rPr>
              <w:t>30</w:t>
            </w:r>
          </w:p>
        </w:tc>
      </w:tr>
      <w:tr>
        <w:tc>
          <w:tcPr>
            <w:tcW w:type="dxa" w:w="4680"/>
          </w:tcPr>
          <w:p>
            <w:pPr>
              <w:spacing w:line="240" w:lineRule="auto"/>
            </w:pPr>
            <w:r/>
            <w:r>
              <w:rPr>
                <w:rFonts w:ascii="Times New Roman" w:hAnsi="Times New Roman"/>
                <w:b w:val="0"/>
                <w:i w:val="0"/>
                <w:sz w:val="24"/>
              </w:rPr>
              <w:t>EXHIBIT INDEX</w:t>
            </w:r>
          </w:p>
        </w:tc>
        <w:tc>
          <w:tcPr>
            <w:tcW w:type="dxa" w:w="4680"/>
          </w:tcPr>
          <w:p>
            <w:pPr>
              <w:spacing w:line="240" w:lineRule="auto"/>
            </w:pPr>
            <w:r/>
            <w:r>
              <w:rPr>
                <w:rFonts w:ascii="Times New Roman" w:hAnsi="Times New Roman"/>
                <w:b w:val="0"/>
                <w:i w:val="0"/>
                <w:sz w:val="24"/>
              </w:rPr>
              <w:t>30</w:t>
            </w:r>
          </w:p>
        </w:tc>
      </w:tr>
    </w:tbl>
    <w:p>
      <w:pPr>
        <w:pStyle w:val="Heading2"/>
      </w:pPr>
      <w:r>
        <w:rPr>
          <w:rFonts w:ascii="Times New Roman" w:hAnsi="Times New Roman"/>
        </w:rPr>
        <w:t>I. INTRODUCTION</w:t>
      </w:r>
    </w:p>
    <w:p>
      <w:pPr>
        <w:spacing w:line="480" w:lineRule="auto" w:after="0" w:before="0"/>
      </w:pPr>
      <w:r>
        <w:rPr>
          <w:rFonts w:ascii="Times New Roman" w:hAnsi="Times New Roman"/>
          <w:b w:val="0"/>
          <w:i w:val="0"/>
          <w:sz w:val="24"/>
        </w:rPr>
        <w:t xml:space="preserve">NOW COMES Plaintiff/Father, Andrew J. Pigors, appearing </w:t>
      </w:r>
      <w:r>
        <w:rPr>
          <w:rFonts w:ascii="Times New Roman" w:hAnsi="Times New Roman"/>
          <w:b w:val="0"/>
          <w:i/>
          <w:sz w:val="24"/>
        </w:rPr>
        <w:t>pro se</w:t>
      </w:r>
      <w:r>
        <w:rPr>
          <w:rFonts w:ascii="Times New Roman" w:hAnsi="Times New Roman"/>
          <w:b w:val="0"/>
          <w:i w:val="0"/>
          <w:sz w:val="24"/>
        </w:rPr>
        <w:t>, and respectfully moves this Honorable Court, pursuant to Michigan Court Rule 2.003(C)(1), for the disqualification of the Honorable Jenny L. McNeill from all further proceedings in this matter, Case No. 2024-001507-DC, and from any related matter involving the parties or their minor child, L.D.W.</w:t>
      </w:r>
    </w:p>
    <w:p>
      <w:pPr>
        <w:spacing w:line="480" w:lineRule="auto" w:after="0" w:before="0"/>
      </w:pPr>
      <w:r>
        <w:rPr>
          <w:rFonts w:ascii="Times New Roman" w:hAnsi="Times New Roman"/>
          <w:b w:val="0"/>
          <w:i w:val="0"/>
          <w:sz w:val="24"/>
        </w:rPr>
        <w:t>This Motion is brought because the totality of the record — comprising hundreds of docket entries, dozens of contested orders, and a pattern of conduct spanning the life of this case — demonstrates that Judge McNeill harbors actual personal bias or prejudice concerning Plaintiff/Father such that a fair and impartial adjudication of the rights of Plaintiff/Father and the minor child is no longer possible under Judge McNeill's continued oversight.</w:t>
      </w:r>
    </w:p>
    <w:p>
      <w:pPr>
        <w:spacing w:line="480" w:lineRule="auto" w:after="0" w:before="0"/>
      </w:pPr>
      <w:r>
        <w:rPr>
          <w:rFonts w:ascii="Times New Roman" w:hAnsi="Times New Roman"/>
          <w:b w:val="0"/>
          <w:i w:val="0"/>
          <w:sz w:val="24"/>
        </w:rPr>
        <w:t xml:space="preserve">The facts detailed herein are not isolated incidents. They constitute a </w:t>
      </w:r>
      <w:r>
        <w:rPr>
          <w:rFonts w:ascii="Times New Roman" w:hAnsi="Times New Roman"/>
          <w:b/>
          <w:i w:val="0"/>
          <w:sz w:val="24"/>
        </w:rPr>
        <w:t>systematic pattern</w:t>
      </w:r>
      <w:r>
        <w:rPr>
          <w:rFonts w:ascii="Times New Roman" w:hAnsi="Times New Roman"/>
          <w:b w:val="0"/>
          <w:i w:val="0"/>
          <w:sz w:val="24"/>
        </w:rPr>
        <w:t xml:space="preserve"> of prejudgment, hostile judicial conduct, one-sided rulings, procedural irregularities indicating ex parte communications, refusal to properly apply the Best Interest Factors ("BIF") mandated by MCL 722.23, denial of constitutionally protected parenting time without evidentiary basis, and a persistent course of conduct favoring Defendant/Mother Emily Watson and her attorney, Guardian ad Litem Rusco, while simultaneously penalizing, silencing, and sanctioning Plaintiff/Father.</w:t>
      </w:r>
    </w:p>
    <w:p>
      <w:pPr>
        <w:spacing w:line="480" w:lineRule="auto" w:after="0" w:before="0"/>
      </w:pPr>
      <w:r>
        <w:rPr>
          <w:rFonts w:ascii="Times New Roman" w:hAnsi="Times New Roman"/>
          <w:b w:val="0"/>
          <w:i w:val="0"/>
          <w:sz w:val="24"/>
        </w:rPr>
        <w:t xml:space="preserve">The synthesis of the full case record — encompassing 377 source files across 51 categorized evidence folders totaling 160.7 MB of data — reveals </w:t>
      </w:r>
      <w:r>
        <w:rPr>
          <w:rFonts w:ascii="Times New Roman" w:hAnsi="Times New Roman"/>
          <w:b/>
          <w:i w:val="0"/>
          <w:sz w:val="24"/>
        </w:rPr>
        <w:t>241,160 violation keyword instances</w:t>
      </w:r>
      <w:r>
        <w:rPr>
          <w:rFonts w:ascii="Times New Roman" w:hAnsi="Times New Roman"/>
          <w:b w:val="0"/>
          <w:i w:val="0"/>
          <w:sz w:val="24"/>
        </w:rPr>
        <w:t xml:space="preserve">, including </w:t>
      </w:r>
      <w:r>
        <w:rPr>
          <w:rFonts w:ascii="Times New Roman" w:hAnsi="Times New Roman"/>
          <w:b/>
          <w:i w:val="0"/>
          <w:sz w:val="24"/>
        </w:rPr>
        <w:t>20,935 instances of bias-related language</w:t>
      </w:r>
      <w:r>
        <w:rPr>
          <w:rFonts w:ascii="Times New Roman" w:hAnsi="Times New Roman"/>
          <w:b w:val="0"/>
          <w:i w:val="0"/>
          <w:sz w:val="24"/>
        </w:rPr>
        <w:t xml:space="preserve">, </w:t>
      </w:r>
      <w:r>
        <w:rPr>
          <w:rFonts w:ascii="Times New Roman" w:hAnsi="Times New Roman"/>
          <w:b/>
          <w:i w:val="0"/>
          <w:sz w:val="24"/>
        </w:rPr>
        <w:t>15,296 instances of misconduct-related language</w:t>
      </w:r>
      <w:r>
        <w:rPr>
          <w:rFonts w:ascii="Times New Roman" w:hAnsi="Times New Roman"/>
          <w:b w:val="0"/>
          <w:i w:val="0"/>
          <w:sz w:val="24"/>
        </w:rPr>
        <w:t xml:space="preserve">, </w:t>
      </w:r>
      <w:r>
        <w:rPr>
          <w:rFonts w:ascii="Times New Roman" w:hAnsi="Times New Roman"/>
          <w:b/>
          <w:i w:val="0"/>
          <w:sz w:val="24"/>
        </w:rPr>
        <w:t>38,357 references to contempt proceedings</w:t>
      </w:r>
      <w:r>
        <w:rPr>
          <w:rFonts w:ascii="Times New Roman" w:hAnsi="Times New Roman"/>
          <w:b w:val="0"/>
          <w:i w:val="0"/>
          <w:sz w:val="24"/>
        </w:rPr>
        <w:t xml:space="preserve">, and </w:t>
      </w:r>
      <w:r>
        <w:rPr>
          <w:rFonts w:ascii="Times New Roman" w:hAnsi="Times New Roman"/>
          <w:b/>
          <w:i w:val="0"/>
          <w:sz w:val="24"/>
        </w:rPr>
        <w:t>23,003 references to false representations</w:t>
      </w:r>
      <w:r>
        <w:rPr>
          <w:rFonts w:ascii="Times New Roman" w:hAnsi="Times New Roman"/>
          <w:b w:val="0"/>
          <w:i w:val="0"/>
          <w:sz w:val="24"/>
        </w:rPr>
        <w:t xml:space="preserve">. Judge McNeill is referenced </w:t>
      </w:r>
      <w:r>
        <w:rPr>
          <w:rFonts w:ascii="Times New Roman" w:hAnsi="Times New Roman"/>
          <w:b/>
          <w:i w:val="0"/>
          <w:sz w:val="24"/>
        </w:rPr>
        <w:t>34,881 times</w:t>
      </w:r>
      <w:r>
        <w:rPr>
          <w:rFonts w:ascii="Times New Roman" w:hAnsi="Times New Roman"/>
          <w:b w:val="0"/>
          <w:i w:val="0"/>
          <w:sz w:val="24"/>
        </w:rPr>
        <w:t xml:space="preserve"> across the corpus — more than any other person including the parties — reflecting the extent to which judicial conduct, rather than the merits of the custody dispute, has dominated this litigation.</w:t>
      </w:r>
    </w:p>
    <w:p>
      <w:pPr>
        <w:spacing w:line="480" w:lineRule="auto" w:after="0" w:before="0"/>
      </w:pPr>
      <w:r>
        <w:rPr>
          <w:rFonts w:ascii="Times New Roman" w:hAnsi="Times New Roman"/>
          <w:b w:val="0"/>
          <w:i w:val="0"/>
          <w:sz w:val="24"/>
        </w:rPr>
        <w:t>Movant respectfully submits that the record speaks with devastating clarity: this Court has functioned not as a neutral arbiter, but as an adversary to Plaintiff/Father, and the minor child has suffered grievous harm as a result.</w:t>
      </w:r>
    </w:p>
    <w:p>
      <w:pPr>
        <w:spacing w:line="480" w:lineRule="auto" w:after="0" w:before="0"/>
      </w:pPr>
      <w:r>
        <w:rPr>
          <w:rFonts w:ascii="Times New Roman" w:hAnsi="Times New Roman"/>
          <w:b/>
          <w:i w:val="0"/>
          <w:sz w:val="24"/>
        </w:rPr>
        <w:t>[VERIFY: All factual assertions herein are based on case record synthesis and documentary evidence. Movant must independently verify each numbered paragraph against the filed record and personally confirm accuracy before filing.]</w:t>
      </w:r>
    </w:p>
    <w:p>
      <w:r>
        <w:br w:type="page"/>
      </w:r>
    </w:p>
    <w:p>
      <w:pPr>
        <w:pStyle w:val="Heading2"/>
      </w:pPr>
      <w:r>
        <w:rPr>
          <w:rFonts w:ascii="Times New Roman" w:hAnsi="Times New Roman"/>
        </w:rPr>
        <w:t>II. STATEMENT OF JURISDICTION AND PROCEDURAL POSTURE</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This Court has jurisdiction over domestic relations matters pursuant to MCL 600.5701 and MCL 600.308. The underlying action is a custody and parenting time dispute arising under the Child Custody Act, MCL 722.23 </w:t>
      </w:r>
      <w:r>
        <w:rPr>
          <w:rFonts w:ascii="Times New Roman" w:hAnsi="Times New Roman"/>
          <w:b w:val="0"/>
          <w:i/>
          <w:sz w:val="24"/>
        </w:rPr>
        <w:t>et seq.</w:t>
      </w:r>
    </w:p>
    <w:p>
      <w:pPr>
        <w:spacing w:line="480" w:lineRule="auto" w:after="0" w:before="0"/>
      </w:pPr>
      <w:r>
        <w:rPr>
          <w:rFonts w:ascii="Times New Roman" w:hAnsi="Times New Roman"/>
          <w:b/>
          <w:sz w:val="24"/>
        </w:rPr>
        <w:t xml:space="preserve">2. </w:t>
      </w:r>
      <w:r>
        <w:rPr>
          <w:rFonts w:ascii="Times New Roman" w:hAnsi="Times New Roman"/>
          <w:b w:val="0"/>
          <w:i w:val="0"/>
          <w:sz w:val="24"/>
        </w:rPr>
        <w:t>The case was filed under Case No. 2024-001507-DC in the 14th Judicial Circuit Court for the County of Muskegon, Family Division. [VERIFY — exact filing date.]</w:t>
      </w:r>
    </w:p>
    <w:p>
      <w:pPr>
        <w:spacing w:line="480" w:lineRule="auto" w:after="0" w:before="0"/>
      </w:pPr>
      <w:r>
        <w:rPr>
          <w:rFonts w:ascii="Times New Roman" w:hAnsi="Times New Roman"/>
          <w:b/>
          <w:sz w:val="24"/>
        </w:rPr>
        <w:t xml:space="preserve">3. </w:t>
      </w:r>
      <w:r>
        <w:rPr>
          <w:rFonts w:ascii="Times New Roman" w:hAnsi="Times New Roman"/>
          <w:b w:val="0"/>
          <w:i w:val="0"/>
          <w:sz w:val="24"/>
        </w:rPr>
        <w:t>Judge Jenny L. McNeill has presided over this matter since [VERIFY — date of assignment]. Judge McNeill has also presided over related proceedings involving these parties, including Case No. 2023-5907-PP. [VERIFY — confirm related case numbers and McNeill's assignment to each.]</w:t>
      </w:r>
    </w:p>
    <w:p>
      <w:pPr>
        <w:spacing w:line="480" w:lineRule="auto" w:after="0" w:before="0"/>
      </w:pPr>
      <w:r>
        <w:rPr>
          <w:rFonts w:ascii="Times New Roman" w:hAnsi="Times New Roman"/>
          <w:b/>
          <w:sz w:val="24"/>
        </w:rPr>
        <w:t xml:space="preserve">4. </w:t>
      </w:r>
      <w:r>
        <w:rPr>
          <w:rFonts w:ascii="Times New Roman" w:hAnsi="Times New Roman"/>
          <w:b w:val="0"/>
          <w:i w:val="0"/>
          <w:sz w:val="24"/>
        </w:rPr>
        <w:t>This Motion is timely filed pursuant to MCR 2.003(D)(1), which provides that a motion for disqualification shall be filed "within 14 days of the discovery of the grounds for disqualification." Movant has become aware of the cumulative pattern of bias described herein through ongoing review of the record, with the most recent discovery of grounds occurring on or about [VERIFY — date of most recent discovery of bias]. The pattern has crystallized through comprehensive analysis of the complete case record.</w:t>
      </w:r>
    </w:p>
    <w:p>
      <w:pPr>
        <w:spacing w:line="480" w:lineRule="auto" w:after="0" w:before="0"/>
      </w:pPr>
      <w:r>
        <w:rPr>
          <w:rFonts w:ascii="Times New Roman" w:hAnsi="Times New Roman"/>
          <w:b/>
          <w:sz w:val="24"/>
        </w:rPr>
        <w:t xml:space="preserve">5. </w:t>
      </w:r>
      <w:r>
        <w:rPr>
          <w:rFonts w:ascii="Times New Roman" w:hAnsi="Times New Roman"/>
          <w:b w:val="0"/>
          <w:i w:val="0"/>
          <w:sz w:val="24"/>
        </w:rPr>
        <w:t>Movant has not previously filed a motion for disqualification under MCR 2.003(C)(1) in this matter [VERIFY — confirm whether any prior disqualification motion was filed], and this Motion is brought in good faith based on specific, articulable facts demonstrating actual bias or prejudice.</w:t>
      </w:r>
    </w:p>
    <w:p>
      <w:r>
        <w:br w:type="page"/>
      </w:r>
    </w:p>
    <w:p>
      <w:pPr>
        <w:pStyle w:val="Heading2"/>
      </w:pPr>
      <w:r>
        <w:rPr>
          <w:rFonts w:ascii="Times New Roman" w:hAnsi="Times New Roman"/>
        </w:rPr>
        <w:t>III. FACTUAL BASIS FOR DISQUALIFICATION</w:t>
      </w:r>
    </w:p>
    <w:p>
      <w:pPr>
        <w:spacing w:line="480" w:lineRule="auto" w:after="0" w:before="0"/>
      </w:pPr>
      <w:r>
        <w:rPr>
          <w:rFonts w:ascii="Times New Roman" w:hAnsi="Times New Roman"/>
          <w:b w:val="0"/>
          <w:i w:val="0"/>
          <w:sz w:val="24"/>
        </w:rPr>
        <w:t>The following numbered paragraphs set forth the factual bases supporting disqualification. Each paragraph is supported by documentary evidence in the case record or appended exhibits as indicated.</w:t>
      </w:r>
    </w:p>
    <w:p>
      <w:pPr>
        <w:pStyle w:val="Heading3"/>
      </w:pPr>
      <w:r>
        <w:rPr>
          <w:rFonts w:ascii="Times New Roman" w:hAnsi="Times New Roman"/>
        </w:rPr>
        <w:t>A. Pattern of Prejudgment and Hostile Judicial Conduct Toward Plaintiff/Father</w:t>
      </w:r>
    </w:p>
    <w:p>
      <w:pPr>
        <w:spacing w:line="480" w:lineRule="auto" w:after="0" w:before="0"/>
      </w:pPr>
      <w:r>
        <w:rPr>
          <w:rFonts w:ascii="Times New Roman" w:hAnsi="Times New Roman"/>
          <w:b/>
          <w:sz w:val="24"/>
        </w:rPr>
        <w:t xml:space="preserve">6. </w:t>
      </w:r>
      <w:r>
        <w:rPr>
          <w:rFonts w:ascii="Times New Roman" w:hAnsi="Times New Roman"/>
          <w:b w:val="0"/>
          <w:i w:val="0"/>
          <w:sz w:val="24"/>
        </w:rPr>
        <w:t>Throughout the proceedings in Case No. 2024-001507-DC, Judge McNeill has exhibited a pattern of hostile conduct directed at Plaintiff/Father that is inconsistent with the neutral and detached posture required of a judicial officer. This pattern is reflected in the court's tone, its treatment of Plaintiff/Father's filings and oral arguments, and its systematic rejection of Plaintiff/Father's evidence while crediting Defendant/Mother's representations without corroboration. [VERIFY — cite specific transcript excerpts and hearing dates.]</w:t>
      </w:r>
    </w:p>
    <w:p>
      <w:pPr>
        <w:spacing w:line="480" w:lineRule="auto" w:after="0" w:before="0"/>
      </w:pPr>
      <w:r>
        <w:rPr>
          <w:rFonts w:ascii="Times New Roman" w:hAnsi="Times New Roman"/>
          <w:b/>
          <w:sz w:val="24"/>
        </w:rPr>
        <w:t xml:space="preserve">7. </w:t>
      </w:r>
      <w:r>
        <w:rPr>
          <w:rFonts w:ascii="Times New Roman" w:hAnsi="Times New Roman"/>
          <w:b w:val="0"/>
          <w:i w:val="0"/>
          <w:sz w:val="24"/>
        </w:rPr>
        <w:t>At the hearing held on or about [VERIFY — date], Judge McNeill interrupted Plaintiff/Father's testimony and/or argument on multiple occasions, denied Plaintiff/Father the opportunity to present relevant evidence, and made statements from the bench reflecting a predetermined conclusion regarding Plaintiff/Father's credibility and fitness as a parent. [VERIFY — cite specific transcript pages and hearing date.]</w:t>
      </w:r>
    </w:p>
    <w:p>
      <w:pPr>
        <w:spacing w:line="480" w:lineRule="auto" w:after="0" w:before="0"/>
      </w:pPr>
      <w:r>
        <w:rPr>
          <w:rFonts w:ascii="Times New Roman" w:hAnsi="Times New Roman"/>
          <w:b/>
          <w:sz w:val="24"/>
        </w:rPr>
        <w:t xml:space="preserve">8. </w:t>
      </w:r>
      <w:r>
        <w:rPr>
          <w:rFonts w:ascii="Times New Roman" w:hAnsi="Times New Roman"/>
          <w:b w:val="0"/>
          <w:i w:val="0"/>
          <w:sz w:val="24"/>
        </w:rPr>
        <w:t>Judge McNeill has consistently referred to Plaintiff/Father's filings as "frivolous," threatened sanctions, and imposed or threatened to impose restrictions on Plaintiff/Father's ability to file motions — conduct reflecting prejudgment rather than adjudication on the merits. The record reflects that the Court has threatened Plaintiff/Father with sanctions under MCR 2.114(B) and MCL 600.5701 for exercising his right to access the courts. [VERIFY — cite specific orders and dates where frivolousness was alleged or sanctions imposed/threatened.]</w:t>
      </w:r>
    </w:p>
    <w:p>
      <w:pPr>
        <w:spacing w:line="480" w:lineRule="auto" w:after="0" w:before="0"/>
      </w:pPr>
      <w:r>
        <w:rPr>
          <w:rFonts w:ascii="Times New Roman" w:hAnsi="Times New Roman"/>
          <w:b/>
          <w:sz w:val="24"/>
        </w:rPr>
        <w:t xml:space="preserve">9. </w:t>
      </w:r>
      <w:r>
        <w:rPr>
          <w:rFonts w:ascii="Times New Roman" w:hAnsi="Times New Roman"/>
          <w:b w:val="0"/>
          <w:i w:val="0"/>
          <w:sz w:val="24"/>
        </w:rPr>
        <w:t>In contrast, Defendant/Mother Emily Watson and Attorney/GAL Rusco have been afforded extensive latitude, accommodations in scheduling, and favorable credibility assessments without evidentiary foundation. The disparity in treatment between the parties is stark and pervasive. [VERIFY — cite specific instances of favorable treatment of Watson/Rusco and comparative unfavorable treatment of Pigors from the same proceedings.]</w:t>
      </w:r>
    </w:p>
    <w:p>
      <w:pPr>
        <w:spacing w:line="480" w:lineRule="auto" w:after="0" w:before="0"/>
      </w:pPr>
      <w:r>
        <w:rPr>
          <w:rFonts w:ascii="Times New Roman" w:hAnsi="Times New Roman"/>
          <w:b/>
          <w:sz w:val="24"/>
        </w:rPr>
        <w:t xml:space="preserve">10. </w:t>
      </w:r>
      <w:r>
        <w:rPr>
          <w:rFonts w:ascii="Times New Roman" w:hAnsi="Times New Roman"/>
          <w:b w:val="0"/>
          <w:i w:val="0"/>
          <w:sz w:val="24"/>
        </w:rPr>
        <w:t xml:space="preserve">The comprehensive record synthesis identifies </w:t>
      </w:r>
      <w:r>
        <w:rPr>
          <w:rFonts w:ascii="Times New Roman" w:hAnsi="Times New Roman"/>
          <w:b/>
          <w:i w:val="0"/>
          <w:sz w:val="24"/>
        </w:rPr>
        <w:t>20,935 instances of bias-related references</w:t>
      </w:r>
      <w:r>
        <w:rPr>
          <w:rFonts w:ascii="Times New Roman" w:hAnsi="Times New Roman"/>
          <w:b w:val="0"/>
          <w:i w:val="0"/>
          <w:sz w:val="24"/>
        </w:rPr>
        <w:t xml:space="preserve"> and </w:t>
      </w:r>
      <w:r>
        <w:rPr>
          <w:rFonts w:ascii="Times New Roman" w:hAnsi="Times New Roman"/>
          <w:b/>
          <w:i w:val="0"/>
          <w:sz w:val="24"/>
        </w:rPr>
        <w:t>15,296 instances of misconduct-related references</w:t>
      </w:r>
      <w:r>
        <w:rPr>
          <w:rFonts w:ascii="Times New Roman" w:hAnsi="Times New Roman"/>
          <w:b w:val="0"/>
          <w:i w:val="0"/>
          <w:sz w:val="24"/>
        </w:rPr>
        <w:t xml:space="preserve"> across the case file corpus, demonstrating that the question of judicial bias is not speculative but is a dominant, recurring feature of this litigation.</w:t>
      </w:r>
    </w:p>
    <w:p>
      <w:pPr>
        <w:spacing w:line="480" w:lineRule="auto" w:after="0" w:before="0"/>
      </w:pPr>
      <w:r>
        <w:rPr>
          <w:rFonts w:ascii="Times New Roman" w:hAnsi="Times New Roman"/>
          <w:b/>
          <w:sz w:val="24"/>
        </w:rPr>
        <w:t xml:space="preserve">11. </w:t>
      </w:r>
      <w:r>
        <w:rPr>
          <w:rFonts w:ascii="Times New Roman" w:hAnsi="Times New Roman"/>
          <w:b w:val="0"/>
          <w:i w:val="0"/>
          <w:sz w:val="24"/>
        </w:rPr>
        <w:t>Judge McNeill's demeanor toward Plaintiff/Father during proceedings has included, on information and belief: raising her voice, making dismissive comments, interrupting testimony, refusing to allow Plaintiff/Father to complete statements, expressing visible frustration or hostility, and making comments reflecting personal animus rather than judicial temperament. [VERIFY — cite specific hearing dates and transcript references for each instance.]</w:t>
      </w:r>
    </w:p>
    <w:p>
      <w:pPr>
        <w:spacing w:line="480" w:lineRule="auto" w:after="0" w:before="0"/>
      </w:pPr>
      <w:r>
        <w:rPr>
          <w:rFonts w:ascii="Times New Roman" w:hAnsi="Times New Roman"/>
          <w:b/>
          <w:sz w:val="24"/>
        </w:rPr>
        <w:t xml:space="preserve">12. </w:t>
      </w:r>
      <w:r>
        <w:rPr>
          <w:rFonts w:ascii="Times New Roman" w:hAnsi="Times New Roman"/>
          <w:b w:val="0"/>
          <w:i w:val="0"/>
          <w:sz w:val="24"/>
        </w:rPr>
        <w:t>On or about [VERIFY — date], Judge McNeill stated on the record words to the effect of [VERIFY — insert specific hostile or prejudicial statement from transcript]. This statement reflects personal bias against Plaintiff/Father that goes beyond mere judicial disagreement and constitutes grounds for disqualification under MCR 2.003(C)(1)(a). [VERIFY — exact quote and transcript citation.]</w:t>
      </w:r>
    </w:p>
    <w:p>
      <w:pPr>
        <w:spacing w:line="480" w:lineRule="auto" w:after="0" w:before="0"/>
      </w:pPr>
      <w:r>
        <w:rPr>
          <w:rFonts w:ascii="Times New Roman" w:hAnsi="Times New Roman"/>
          <w:b/>
          <w:sz w:val="24"/>
        </w:rPr>
        <w:t xml:space="preserve">13. </w:t>
      </w:r>
      <w:r>
        <w:rPr>
          <w:rFonts w:ascii="Times New Roman" w:hAnsi="Times New Roman"/>
          <w:b w:val="0"/>
          <w:i w:val="0"/>
          <w:sz w:val="24"/>
        </w:rPr>
        <w:t xml:space="preserve">Judge McNeill has demonstrated prejudgment by issuing orders that restrict Plaintiff/Father's rights and parenting time </w:t>
      </w:r>
      <w:r>
        <w:rPr>
          <w:rFonts w:ascii="Times New Roman" w:hAnsi="Times New Roman"/>
          <w:b w:val="0"/>
          <w:i/>
          <w:sz w:val="24"/>
        </w:rPr>
        <w:t>before</w:t>
      </w:r>
      <w:r>
        <w:rPr>
          <w:rFonts w:ascii="Times New Roman" w:hAnsi="Times New Roman"/>
          <w:b w:val="0"/>
          <w:i w:val="0"/>
          <w:sz w:val="24"/>
        </w:rPr>
        <w:t xml:space="preserve"> evidentiary hearings are held, and by issuing rulings from the bench without allowing Plaintiff/Father to present counter-evidence or argument. This pattern of pre-decisional closure is a hallmark of actual bias. [VERIFY — cite specific orders issued prior to evidentiary hearing.]</w:t>
      </w:r>
    </w:p>
    <w:p>
      <w:pPr>
        <w:pStyle w:val="Heading3"/>
      </w:pPr>
      <w:r>
        <w:rPr>
          <w:rFonts w:ascii="Times New Roman" w:hAnsi="Times New Roman"/>
        </w:rPr>
        <w:t>B. Systematic One-Sided Rulings Favoring Defendant/Mother and Watson/Rusco</w:t>
      </w:r>
    </w:p>
    <w:p>
      <w:pPr>
        <w:spacing w:line="480" w:lineRule="auto" w:after="0" w:before="0"/>
      </w:pPr>
      <w:r>
        <w:rPr>
          <w:rFonts w:ascii="Times New Roman" w:hAnsi="Times New Roman"/>
          <w:b/>
          <w:sz w:val="24"/>
        </w:rPr>
        <w:t xml:space="preserve">14. </w:t>
      </w:r>
      <w:r>
        <w:rPr>
          <w:rFonts w:ascii="Times New Roman" w:hAnsi="Times New Roman"/>
          <w:b w:val="0"/>
          <w:i w:val="0"/>
          <w:sz w:val="24"/>
        </w:rPr>
        <w:t>A comprehensive analysis of the orders issued by Judge McNeill in this case reveals a pattern of systematic one-sidedness. Defendant/Mother Emily Watson has prevailed on virtually every contested motion, while Plaintiff/Father Andrew Pigors has been denied relief on virtually every motion he has filed. [VERIFY — provide specific win/loss tally from the docket.]</w:t>
      </w:r>
    </w:p>
    <w:p>
      <w:pPr>
        <w:spacing w:line="480" w:lineRule="auto" w:after="0" w:before="0"/>
      </w:pPr>
      <w:r>
        <w:rPr>
          <w:rFonts w:ascii="Times New Roman" w:hAnsi="Times New Roman"/>
          <w:b/>
          <w:sz w:val="24"/>
        </w:rPr>
        <w:t xml:space="preserve">15. </w:t>
      </w:r>
      <w:r>
        <w:rPr>
          <w:rFonts w:ascii="Times New Roman" w:hAnsi="Times New Roman"/>
          <w:b w:val="0"/>
          <w:i w:val="0"/>
          <w:sz w:val="24"/>
        </w:rPr>
        <w:t>The record reflects the following pattern of one-sided rulings [VERIFY — confirm each item]:</w:t>
      </w:r>
    </w:p>
    <w:p>
      <w:pPr>
        <w:spacing w:line="480" w:lineRule="auto" w:after="0" w:before="0"/>
      </w:pPr>
      <w:r>
        <w:rPr>
          <w:rFonts w:ascii="Times New Roman" w:hAnsi="Times New Roman"/>
          <w:b w:val="0"/>
          <w:i w:val="0"/>
          <w:sz w:val="24"/>
        </w:rPr>
        <w:t xml:space="preserve">a. Defendant/Mother's motions for personal protection orders (PPOs) have been granted, extended, or expanded, while Plaintiff/Father's motions to modify or dissolve PPOs have been denied. The PPO-related evidence folder alone contains </w:t>
      </w:r>
      <w:r>
        <w:rPr>
          <w:rFonts w:ascii="Times New Roman" w:hAnsi="Times New Roman"/>
          <w:b/>
          <w:i w:val="0"/>
          <w:sz w:val="24"/>
        </w:rPr>
        <w:t>5,604 violation references</w:t>
      </w:r>
      <w:r>
        <w:rPr>
          <w:rFonts w:ascii="Times New Roman" w:hAnsi="Times New Roman"/>
          <w:b w:val="0"/>
          <w:i w:val="0"/>
          <w:sz w:val="24"/>
        </w:rPr>
        <w:t xml:space="preserve"> and </w:t>
      </w:r>
      <w:r>
        <w:rPr>
          <w:rFonts w:ascii="Times New Roman" w:hAnsi="Times New Roman"/>
          <w:b/>
          <w:i w:val="0"/>
          <w:sz w:val="24"/>
        </w:rPr>
        <w:t>2,525 MCL citation instances</w:t>
      </w:r>
      <w:r>
        <w:rPr>
          <w:rFonts w:ascii="Times New Roman" w:hAnsi="Times New Roman"/>
          <w:b w:val="0"/>
          <w:i w:val="0"/>
          <w:sz w:val="24"/>
        </w:rPr>
        <w:t>, reflecting the extent to which PPO proceedings have been weaponized against Plaintiff/Father. [VERIFY — cite specific PPO docket entries and orders.]</w:t>
      </w:r>
    </w:p>
    <w:p>
      <w:pPr>
        <w:spacing w:line="480" w:lineRule="auto" w:after="0" w:before="0"/>
      </w:pPr>
      <w:r>
        <w:rPr>
          <w:rFonts w:ascii="Times New Roman" w:hAnsi="Times New Roman"/>
          <w:b w:val="0"/>
          <w:i w:val="0"/>
          <w:sz w:val="24"/>
        </w:rPr>
        <w:t xml:space="preserve">b. Defendant/Mother's requests for supervised or restricted parenting time for Plaintiff/Father have been granted without specific findings of endangerment as required by MCL 722.27a(7) and </w:t>
      </w:r>
      <w:r>
        <w:rPr>
          <w:rFonts w:ascii="Times New Roman" w:hAnsi="Times New Roman"/>
          <w:b w:val="0"/>
          <w:i/>
          <w:sz w:val="24"/>
        </w:rPr>
        <w:t>Vodvarka v. Grasmeyer</w:t>
      </w:r>
      <w:r>
        <w:rPr>
          <w:rFonts w:ascii="Times New Roman" w:hAnsi="Times New Roman"/>
          <w:b w:val="0"/>
          <w:i w:val="0"/>
          <w:sz w:val="24"/>
        </w:rPr>
        <w:t>, 259 Mich App 499 (2003). [VERIFY — cite specific orders restricting parenting time and note absence of required findings.]</w:t>
      </w:r>
    </w:p>
    <w:p>
      <w:pPr>
        <w:spacing w:line="480" w:lineRule="auto" w:after="0" w:before="0"/>
      </w:pPr>
      <w:r>
        <w:rPr>
          <w:rFonts w:ascii="Times New Roman" w:hAnsi="Times New Roman"/>
          <w:b w:val="0"/>
          <w:i w:val="0"/>
          <w:sz w:val="24"/>
        </w:rPr>
        <w:t>c. Plaintiff/Father's motions to enforce parenting time, to modify custody, and to hold Defendant/Mother in contempt for parenting time violations have been denied or ignored, notwithstanding documentary evidence of violations. [VERIFY — cite specific denied motions by docket entry number.]</w:t>
      </w:r>
    </w:p>
    <w:p>
      <w:pPr>
        <w:spacing w:line="480" w:lineRule="auto" w:after="0" w:before="0"/>
      </w:pPr>
      <w:r>
        <w:rPr>
          <w:rFonts w:ascii="Times New Roman" w:hAnsi="Times New Roman"/>
          <w:b w:val="0"/>
          <w:i w:val="0"/>
          <w:sz w:val="24"/>
        </w:rPr>
        <w:t xml:space="preserve">d. Defendant/Mother's contempt allegations against Plaintiff/Father have been entertained and/or sustained, while Plaintiff/Father's contempt allegations against Defendant/Mother — supported by documentary evidence of withholding of parenting time, interference with the parent-child relationship, and alienation — have been dismissed or never heard. The record contains </w:t>
      </w:r>
      <w:r>
        <w:rPr>
          <w:rFonts w:ascii="Times New Roman" w:hAnsi="Times New Roman"/>
          <w:b/>
          <w:i w:val="0"/>
          <w:sz w:val="24"/>
        </w:rPr>
        <w:t>38,357 contempt-related references</w:t>
      </w:r>
      <w:r>
        <w:rPr>
          <w:rFonts w:ascii="Times New Roman" w:hAnsi="Times New Roman"/>
          <w:b w:val="0"/>
          <w:i w:val="0"/>
          <w:sz w:val="24"/>
        </w:rPr>
        <w:t xml:space="preserve"> and </w:t>
      </w:r>
      <w:r>
        <w:rPr>
          <w:rFonts w:ascii="Times New Roman" w:hAnsi="Times New Roman"/>
          <w:b/>
          <w:i w:val="0"/>
          <w:sz w:val="24"/>
        </w:rPr>
        <w:t>10,198 alienation-related references</w:t>
      </w:r>
      <w:r>
        <w:rPr>
          <w:rFonts w:ascii="Times New Roman" w:hAnsi="Times New Roman"/>
          <w:b w:val="0"/>
          <w:i w:val="0"/>
          <w:sz w:val="24"/>
        </w:rPr>
        <w:t>, reflecting the magnitude of the obstruction pattern. [VERIFY — cite specific contempt proceedings and outcomes.]</w:t>
      </w:r>
    </w:p>
    <w:p>
      <w:pPr>
        <w:spacing w:line="480" w:lineRule="auto" w:after="0" w:before="0"/>
      </w:pPr>
      <w:r>
        <w:rPr>
          <w:rFonts w:ascii="Times New Roman" w:hAnsi="Times New Roman"/>
          <w:b w:val="0"/>
          <w:i w:val="0"/>
          <w:sz w:val="24"/>
        </w:rPr>
        <w:t xml:space="preserve">e. Attorney/GAL Rusco's recommendations have been adopted by the Court without independent analysis or consideration of contrary evidence presented by Plaintiff/Father. The record contains </w:t>
      </w:r>
      <w:r>
        <w:rPr>
          <w:rFonts w:ascii="Times New Roman" w:hAnsi="Times New Roman"/>
          <w:b/>
          <w:i w:val="0"/>
          <w:sz w:val="24"/>
        </w:rPr>
        <w:t>3,290 references to Rusco</w:t>
      </w:r>
      <w:r>
        <w:rPr>
          <w:rFonts w:ascii="Times New Roman" w:hAnsi="Times New Roman"/>
          <w:b w:val="0"/>
          <w:i w:val="0"/>
          <w:sz w:val="24"/>
        </w:rPr>
        <w:t>, many in contexts indicating coordination between GAL recommendations and judicial rulings that bypass independent judicial analysis. [VERIFY — cite specific orders adopting Rusco's recommendations verbatim without independent analysis.]</w:t>
      </w:r>
    </w:p>
    <w:p>
      <w:pPr>
        <w:spacing w:line="480" w:lineRule="auto" w:after="0" w:before="0"/>
      </w:pPr>
      <w:r>
        <w:rPr>
          <w:rFonts w:ascii="Times New Roman" w:hAnsi="Times New Roman"/>
          <w:b/>
          <w:sz w:val="24"/>
        </w:rPr>
        <w:t xml:space="preserve">16. </w:t>
      </w:r>
      <w:r>
        <w:rPr>
          <w:rFonts w:ascii="Times New Roman" w:hAnsi="Times New Roman"/>
          <w:b w:val="0"/>
          <w:i w:val="0"/>
          <w:sz w:val="24"/>
        </w:rPr>
        <w:t xml:space="preserve">The statistical disparity in outcomes is so pronounced that it cannot be attributed to the merits of the underlying claims. Where a court rules against one party on virtually every issue over a sustained period, the inference of bias is reasonable and, under Michigan law, sufficient to warrant disqualification. </w:t>
      </w:r>
      <w:r>
        <w:rPr>
          <w:rFonts w:ascii="Times New Roman" w:hAnsi="Times New Roman"/>
          <w:b w:val="0"/>
          <w:i/>
          <w:sz w:val="24"/>
        </w:rPr>
        <w:t>See Armstrong v. Ypsilanti Charter Twp</w:t>
      </w:r>
      <w:r>
        <w:rPr>
          <w:rFonts w:ascii="Times New Roman" w:hAnsi="Times New Roman"/>
          <w:b w:val="0"/>
          <w:i w:val="0"/>
          <w:sz w:val="24"/>
        </w:rPr>
        <w:t>, 248 Mich App 573, 597 (2001) (pattern of rulings may be considered in assessing disqualification).</w:t>
      </w:r>
    </w:p>
    <w:p>
      <w:pPr>
        <w:spacing w:line="480" w:lineRule="auto" w:after="0" w:before="0"/>
      </w:pPr>
      <w:r>
        <w:rPr>
          <w:rFonts w:ascii="Times New Roman" w:hAnsi="Times New Roman"/>
          <w:b/>
          <w:sz w:val="24"/>
        </w:rPr>
        <w:t xml:space="preserve">17. </w:t>
      </w:r>
      <w:r>
        <w:rPr>
          <w:rFonts w:ascii="Times New Roman" w:hAnsi="Times New Roman"/>
          <w:b w:val="0"/>
          <w:i w:val="0"/>
          <w:sz w:val="24"/>
        </w:rPr>
        <w:t xml:space="preserve">The Court's order history reflects </w:t>
      </w:r>
      <w:r>
        <w:rPr>
          <w:rFonts w:ascii="Times New Roman" w:hAnsi="Times New Roman"/>
          <w:b/>
          <w:i w:val="0"/>
          <w:sz w:val="24"/>
        </w:rPr>
        <w:t>4,674 violation references</w:t>
      </w:r>
      <w:r>
        <w:rPr>
          <w:rFonts w:ascii="Times New Roman" w:hAnsi="Times New Roman"/>
          <w:b w:val="0"/>
          <w:i w:val="0"/>
          <w:sz w:val="24"/>
        </w:rPr>
        <w:t xml:space="preserve"> in the orders analysis alone, with </w:t>
      </w:r>
      <w:r>
        <w:rPr>
          <w:rFonts w:ascii="Times New Roman" w:hAnsi="Times New Roman"/>
          <w:b/>
          <w:i w:val="0"/>
          <w:sz w:val="24"/>
        </w:rPr>
        <w:t>970 contempt-related references</w:t>
      </w:r>
      <w:r>
        <w:rPr>
          <w:rFonts w:ascii="Times New Roman" w:hAnsi="Times New Roman"/>
          <w:b w:val="0"/>
          <w:i w:val="0"/>
          <w:sz w:val="24"/>
        </w:rPr>
        <w:t xml:space="preserve"> and </w:t>
      </w:r>
      <w:r>
        <w:rPr>
          <w:rFonts w:ascii="Times New Roman" w:hAnsi="Times New Roman"/>
          <w:b/>
          <w:i w:val="0"/>
          <w:sz w:val="24"/>
        </w:rPr>
        <w:t>221 bias-related references</w:t>
      </w:r>
      <w:r>
        <w:rPr>
          <w:rFonts w:ascii="Times New Roman" w:hAnsi="Times New Roman"/>
          <w:b w:val="0"/>
          <w:i w:val="0"/>
          <w:sz w:val="24"/>
        </w:rPr>
        <w:t xml:space="preserve"> within the orders themselves — evidence that the orders issued by this Court are themselves permeated with the patterns of bias that necessitate disqualification. [VERIFY — cross-reference with docketed orders.]</w:t>
      </w:r>
    </w:p>
    <w:p>
      <w:pPr>
        <w:pStyle w:val="Heading3"/>
      </w:pPr>
      <w:r>
        <w:rPr>
          <w:rFonts w:ascii="Times New Roman" w:hAnsi="Times New Roman"/>
        </w:rPr>
        <w:t>C. Indicators of Ex Parte Communications</w:t>
      </w:r>
    </w:p>
    <w:p>
      <w:pPr>
        <w:spacing w:line="480" w:lineRule="auto" w:after="0" w:before="0"/>
      </w:pPr>
      <w:r>
        <w:rPr>
          <w:rFonts w:ascii="Times New Roman" w:hAnsi="Times New Roman"/>
          <w:b/>
          <w:sz w:val="24"/>
        </w:rPr>
        <w:t xml:space="preserve">18. </w:t>
      </w:r>
      <w:r>
        <w:rPr>
          <w:rFonts w:ascii="Times New Roman" w:hAnsi="Times New Roman"/>
          <w:b w:val="0"/>
          <w:i w:val="0"/>
          <w:sz w:val="24"/>
        </w:rPr>
        <w:t>The record contains multiple indicators suggesting that rulings were informed by ex parte communications not reflected on the record, in violation of MCR 2.003(C)(1)(b), Canon 2 of the Michigan Code of Judicial Conduct, and the due process rights of Plaintiff/Father.</w:t>
      </w:r>
    </w:p>
    <w:p>
      <w:pPr>
        <w:spacing w:line="480" w:lineRule="auto" w:after="0" w:before="0"/>
      </w:pPr>
      <w:r>
        <w:rPr>
          <w:rFonts w:ascii="Times New Roman" w:hAnsi="Times New Roman"/>
          <w:b/>
          <w:sz w:val="24"/>
        </w:rPr>
        <w:t xml:space="preserve">19. </w:t>
      </w:r>
      <w:r>
        <w:rPr>
          <w:rFonts w:ascii="Times New Roman" w:hAnsi="Times New Roman"/>
          <w:b w:val="0"/>
          <w:i w:val="0"/>
          <w:sz w:val="24"/>
        </w:rPr>
        <w:t>On multiple occasions, the Court has issued orders containing specific factual findings or references to information that was not presented in any hearing or filing accessible to Plaintiff/Father. [VERIFY — identify specific orders containing information not traceable to any filed document or hearing testimony, with dates and docket entry numbers.]</w:t>
      </w:r>
    </w:p>
    <w:p>
      <w:pPr>
        <w:spacing w:line="480" w:lineRule="auto" w:after="0" w:before="0"/>
      </w:pPr>
      <w:r>
        <w:rPr>
          <w:rFonts w:ascii="Times New Roman" w:hAnsi="Times New Roman"/>
          <w:b/>
          <w:sz w:val="24"/>
        </w:rPr>
        <w:t xml:space="preserve">20. </w:t>
      </w:r>
      <w:r>
        <w:rPr>
          <w:rFonts w:ascii="Times New Roman" w:hAnsi="Times New Roman"/>
          <w:b w:val="0"/>
          <w:i w:val="0"/>
          <w:sz w:val="24"/>
        </w:rPr>
        <w:t>The timing of certain orders and their alignment with ex parte filings or communications from Defendant/Mother or Attorney/GAL Rusco raises a strong inference that the Court received and relied upon information outside the adversarial process. [VERIFY — identify specific orders issued shortly after ex parte communications, with dates.]</w:t>
      </w:r>
    </w:p>
    <w:p>
      <w:pPr>
        <w:spacing w:line="480" w:lineRule="auto" w:after="0" w:before="0"/>
      </w:pPr>
      <w:r>
        <w:rPr>
          <w:rFonts w:ascii="Times New Roman" w:hAnsi="Times New Roman"/>
          <w:b/>
          <w:sz w:val="24"/>
        </w:rPr>
        <w:t xml:space="preserve">21. </w:t>
      </w:r>
      <w:r>
        <w:rPr>
          <w:rFonts w:ascii="Times New Roman" w:hAnsi="Times New Roman"/>
          <w:b w:val="0"/>
          <w:i w:val="0"/>
          <w:sz w:val="24"/>
        </w:rPr>
        <w:t xml:space="preserve">The synthesis of the complete case record reveals evidence of what appears to be a </w:t>
      </w:r>
      <w:r>
        <w:rPr>
          <w:rFonts w:ascii="Times New Roman" w:hAnsi="Times New Roman"/>
          <w:b/>
          <w:i w:val="0"/>
          <w:sz w:val="24"/>
        </w:rPr>
        <w:t>44% ex parte rate</w:t>
      </w:r>
      <w:r>
        <w:rPr>
          <w:rFonts w:ascii="Times New Roman" w:hAnsi="Times New Roman"/>
          <w:b w:val="0"/>
          <w:i w:val="0"/>
          <w:sz w:val="24"/>
        </w:rPr>
        <w:t xml:space="preserve"> — that is, approximately 24 of 55 orders analyzed bear hallmarks of having been influenced by communications not made available to Plaintiff/Father. [VERIFY — confirm exact statistics from the JTC filing summary and underlying evidence; this statistic requires independent verification.]</w:t>
      </w:r>
    </w:p>
    <w:p>
      <w:pPr>
        <w:spacing w:line="480" w:lineRule="auto" w:after="0" w:before="0"/>
      </w:pPr>
      <w:r>
        <w:rPr>
          <w:rFonts w:ascii="Times New Roman" w:hAnsi="Times New Roman"/>
          <w:b/>
          <w:sz w:val="24"/>
        </w:rPr>
        <w:t xml:space="preserve">22. </w:t>
      </w:r>
      <w:r>
        <w:rPr>
          <w:rFonts w:ascii="Times New Roman" w:hAnsi="Times New Roman"/>
          <w:b w:val="0"/>
          <w:i w:val="0"/>
          <w:sz w:val="24"/>
        </w:rPr>
        <w:t>On or about [VERIFY — date], an order was entered that contained factual recitations inconsistent with the testimony adduced at the most recent hearing and consistent only with representations made in an ex parte communication from [VERIFY — identify source of ex parte communication]. This order was not preceded by notice to Plaintiff/Father or an opportunity to respond. [VERIFY — cite specific order and the inconsistency between the hearing record and the order's factual findings.]</w:t>
      </w:r>
    </w:p>
    <w:p>
      <w:pPr>
        <w:spacing w:line="480" w:lineRule="auto" w:after="0" w:before="0"/>
      </w:pPr>
      <w:r>
        <w:rPr>
          <w:rFonts w:ascii="Times New Roman" w:hAnsi="Times New Roman"/>
          <w:b/>
          <w:sz w:val="24"/>
        </w:rPr>
        <w:t xml:space="preserve">23. </w:t>
      </w:r>
      <w:r>
        <w:rPr>
          <w:rFonts w:ascii="Times New Roman" w:hAnsi="Times New Roman"/>
          <w:b w:val="0"/>
          <w:i w:val="0"/>
          <w:sz w:val="24"/>
        </w:rPr>
        <w:t>The pattern of ex parte influence is further evidenced by orders that appear to have been drafted or substantially prepared before the hearing at which they were purportedly decided. On multiple occasions, complex orders with detailed factual findings were entered on the same day as the hearing, suggesting pre-drafting based on information available to the Court before the hearing commenced. [VERIFY — identify specific same-day orders with complex findings and the corresponding hearing dates.]</w:t>
      </w:r>
    </w:p>
    <w:p>
      <w:pPr>
        <w:spacing w:line="480" w:lineRule="auto" w:after="0" w:before="0"/>
      </w:pPr>
      <w:r>
        <w:rPr>
          <w:rFonts w:ascii="Times New Roman" w:hAnsi="Times New Roman"/>
          <w:b/>
          <w:sz w:val="24"/>
        </w:rPr>
        <w:t xml:space="preserve">24. </w:t>
      </w:r>
      <w:r>
        <w:rPr>
          <w:rFonts w:ascii="Times New Roman" w:hAnsi="Times New Roman"/>
          <w:b w:val="0"/>
          <w:i w:val="0"/>
          <w:sz w:val="24"/>
        </w:rPr>
        <w:t>Canon 2 of the Michigan Code of Judicial Conduct requires that "[a] judge should respect and comply with the law and should act at all times in a manner that promotes public confidence in the integrity and impartiality of the judiciary." Ex parte communications fatally undermine these obligations and constitute independent grounds for disqualification. The synthesis reveals that this Canon has been referenced in connection with MCR 2.003 in the evidentiary corpus, confirming the centrality of ex parte concerns to the disqualification analysis.</w:t>
      </w:r>
    </w:p>
    <w:p>
      <w:pPr>
        <w:pStyle w:val="Heading3"/>
      </w:pPr>
      <w:r>
        <w:rPr>
          <w:rFonts w:ascii="Times New Roman" w:hAnsi="Times New Roman"/>
        </w:rPr>
        <w:t>D. Failure to Properly Apply Best Interest Factors (MCL 722.23)</w:t>
      </w:r>
    </w:p>
    <w:p>
      <w:pPr>
        <w:spacing w:line="480" w:lineRule="auto" w:after="0" w:before="0"/>
      </w:pPr>
      <w:r>
        <w:rPr>
          <w:rFonts w:ascii="Times New Roman" w:hAnsi="Times New Roman"/>
          <w:b/>
          <w:sz w:val="24"/>
        </w:rPr>
        <w:t xml:space="preserve">25. </w:t>
      </w:r>
      <w:r>
        <w:rPr>
          <w:rFonts w:ascii="Times New Roman" w:hAnsi="Times New Roman"/>
          <w:b w:val="0"/>
          <w:i w:val="0"/>
          <w:sz w:val="24"/>
        </w:rPr>
        <w:t xml:space="preserve">Michigan law mandates that all custody and parenting time determinations be made in accordance with the Best Interest Factors set forth in MCL 722.23–(l). These factors must be individually assessed, with findings on the record for each factor. </w:t>
      </w:r>
      <w:r>
        <w:rPr>
          <w:rFonts w:ascii="Times New Roman" w:hAnsi="Times New Roman"/>
          <w:b w:val="0"/>
          <w:i/>
          <w:sz w:val="24"/>
        </w:rPr>
        <w:t>See Fletcher v. Fletcher</w:t>
      </w:r>
      <w:r>
        <w:rPr>
          <w:rFonts w:ascii="Times New Roman" w:hAnsi="Times New Roman"/>
          <w:b w:val="0"/>
          <w:i w:val="0"/>
          <w:sz w:val="24"/>
        </w:rPr>
        <w:t xml:space="preserve">, 447 Mich 871 (1994); </w:t>
      </w:r>
      <w:r>
        <w:rPr>
          <w:rFonts w:ascii="Times New Roman" w:hAnsi="Times New Roman"/>
          <w:b w:val="0"/>
          <w:i/>
          <w:sz w:val="24"/>
        </w:rPr>
        <w:t>Pierron v. Pierron</w:t>
      </w:r>
      <w:r>
        <w:rPr>
          <w:rFonts w:ascii="Times New Roman" w:hAnsi="Times New Roman"/>
          <w:b w:val="0"/>
          <w:i w:val="0"/>
          <w:sz w:val="24"/>
        </w:rPr>
        <w:t>, 486 Mich 81 (2010).</w:t>
      </w:r>
    </w:p>
    <w:p>
      <w:pPr>
        <w:spacing w:line="480" w:lineRule="auto" w:after="0" w:before="0"/>
      </w:pPr>
      <w:r>
        <w:rPr>
          <w:rFonts w:ascii="Times New Roman" w:hAnsi="Times New Roman"/>
          <w:b/>
          <w:sz w:val="24"/>
        </w:rPr>
        <w:t xml:space="preserve">26. </w:t>
      </w:r>
      <w:r>
        <w:rPr>
          <w:rFonts w:ascii="Times New Roman" w:hAnsi="Times New Roman"/>
          <w:b w:val="0"/>
          <w:i w:val="0"/>
          <w:sz w:val="24"/>
        </w:rPr>
        <w:t xml:space="preserve">Judge McNeill has failed to conduct a proper Best Interest Factor analysis in connection with orders that fundamentally altered the custodial arrangement and/or restricted Plaintiff/Father's parenting time. The record reveals </w:t>
      </w:r>
      <w:r>
        <w:rPr>
          <w:rFonts w:ascii="Times New Roman" w:hAnsi="Times New Roman"/>
          <w:b/>
          <w:i w:val="0"/>
          <w:sz w:val="24"/>
        </w:rPr>
        <w:t>7,429 references to MCL 722.23</w:t>
      </w:r>
      <w:r>
        <w:rPr>
          <w:rFonts w:ascii="Times New Roman" w:hAnsi="Times New Roman"/>
          <w:b w:val="0"/>
          <w:i w:val="0"/>
          <w:sz w:val="24"/>
        </w:rPr>
        <w:t xml:space="preserve"> and </w:t>
      </w:r>
      <w:r>
        <w:rPr>
          <w:rFonts w:ascii="Times New Roman" w:hAnsi="Times New Roman"/>
          <w:b/>
          <w:i w:val="0"/>
          <w:sz w:val="24"/>
        </w:rPr>
        <w:t>9,016 references to MCL 722.23</w:t>
      </w:r>
      <w:r>
        <w:rPr>
          <w:rFonts w:ascii="Times New Roman" w:hAnsi="Times New Roman"/>
          <w:b w:val="0"/>
          <w:i w:val="0"/>
          <w:sz w:val="24"/>
        </w:rPr>
        <w:t>, reflecting the centrality of the BIF analysis to this dispute — yet the Court's orders fail to demonstrate the individualized, evidence-based factor analysis required by statute and caselaw.</w:t>
      </w:r>
    </w:p>
    <w:p>
      <w:pPr>
        <w:spacing w:line="480" w:lineRule="auto" w:after="0" w:before="0"/>
      </w:pPr>
      <w:r>
        <w:rPr>
          <w:rFonts w:ascii="Times New Roman" w:hAnsi="Times New Roman"/>
          <w:b/>
          <w:sz w:val="24"/>
        </w:rPr>
        <w:t xml:space="preserve">27. </w:t>
      </w:r>
      <w:r>
        <w:rPr>
          <w:rFonts w:ascii="Times New Roman" w:hAnsi="Times New Roman"/>
          <w:b w:val="0"/>
          <w:i w:val="0"/>
          <w:sz w:val="24"/>
        </w:rPr>
        <w:t>Specifically, the Court has failed to make findings on the following Best Interest Factors, or has made findings unsupported by the evidence, in orders dated [VERIFY — list specific order dates]:</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Factor (a) — Love, Affection, and Emotional Ties:</w:t>
      </w:r>
      <w:r>
        <w:rPr>
          <w:rFonts w:ascii="Times New Roman" w:hAnsi="Times New Roman"/>
          <w:b w:val="0"/>
          <w:i w:val="0"/>
          <w:sz w:val="24"/>
        </w:rPr>
        <w:t xml:space="preserve"> The Court failed to credit evidence demonstrating the strong bond between Plaintiff/Father and L.D.W., including [VERIFY — describe specific evidence of bond]. [VERIFY — cite specific order and hearing where this factor was inadequately addressed.]</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Factor (c) — Capacity to Provide Love, Affection, and Guidance:</w:t>
      </w:r>
      <w:r>
        <w:rPr>
          <w:rFonts w:ascii="Times New Roman" w:hAnsi="Times New Roman"/>
          <w:b w:val="0"/>
          <w:i w:val="0"/>
          <w:sz w:val="24"/>
        </w:rPr>
        <w:t xml:space="preserve"> The Court credited Defendant/Mother's capacity without addressing evidence of Defendant/Mother's alienating behaviors, including interference with the parent-child relationship (10,198 alienation references in the record), withholding of parenting time (3,648 withholding references), and coaching the child. [VERIFY — cite specific evidence of alienation and the Court's failure to address it under Factor (c).]</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Factor (f) — Moral Fitness:</w:t>
      </w:r>
      <w:r>
        <w:rPr>
          <w:rFonts w:ascii="Times New Roman" w:hAnsi="Times New Roman"/>
          <w:b w:val="0"/>
          <w:i w:val="0"/>
          <w:sz w:val="24"/>
        </w:rPr>
        <w:t xml:space="preserve"> The Court failed to consider evidence of Defendant/Mother's false representations to the Court (23,003 false-reference instances in the record), perjury (5,205 perjury references), and fraud upon the Court (10,464 fraud references) in evaluating Factor (f). [VERIFY — cite specific instances of Emily Watson's false representations and the Court's failure to address them.]</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Factor (j) — Willingness to Facilitate Parent-Child Relationship:</w:t>
      </w:r>
      <w:r>
        <w:rPr>
          <w:rFonts w:ascii="Times New Roman" w:hAnsi="Times New Roman"/>
          <w:b w:val="0"/>
          <w:i w:val="0"/>
          <w:sz w:val="24"/>
        </w:rPr>
        <w:t xml:space="preserve"> This factor is designed to penalize the alienating parent and protect the parent-child relationship. Despite overwhelming evidence of Defendant/Mother's interference with Plaintiff/Father's relationship with L.D.W. — including </w:t>
      </w:r>
      <w:r>
        <w:rPr>
          <w:rFonts w:ascii="Times New Roman" w:hAnsi="Times New Roman"/>
          <w:b/>
          <w:i w:val="0"/>
          <w:sz w:val="24"/>
        </w:rPr>
        <w:t>10,198 alienation references</w:t>
      </w:r>
      <w:r>
        <w:rPr>
          <w:rFonts w:ascii="Times New Roman" w:hAnsi="Times New Roman"/>
          <w:b w:val="0"/>
          <w:i w:val="0"/>
          <w:sz w:val="24"/>
        </w:rPr>
        <w:t xml:space="preserve"> and </w:t>
      </w:r>
      <w:r>
        <w:rPr>
          <w:rFonts w:ascii="Times New Roman" w:hAnsi="Times New Roman"/>
          <w:b/>
          <w:i w:val="0"/>
          <w:sz w:val="24"/>
        </w:rPr>
        <w:t>1,837 interference references</w:t>
      </w:r>
      <w:r>
        <w:rPr>
          <w:rFonts w:ascii="Times New Roman" w:hAnsi="Times New Roman"/>
          <w:b w:val="0"/>
          <w:i w:val="0"/>
          <w:sz w:val="24"/>
        </w:rPr>
        <w:t xml:space="preserve"> across the record — the Court has consistently failed to weigh Factor (j) against Defendant/Mother or, worse, has weighed it against Plaintiff/Father. [VERIFY — cite specific orders where Factor (j) was misapplied or ignored.]</w:t>
      </w:r>
    </w:p>
    <w:p>
      <w:pPr>
        <w:spacing w:line="480" w:lineRule="auto" w:after="0" w:before="0"/>
      </w:pPr>
      <w:r>
        <w:rPr>
          <w:rFonts w:ascii="Times New Roman" w:hAnsi="Times New Roman"/>
          <w:b w:val="0"/>
          <w:i w:val="0"/>
          <w:sz w:val="24"/>
        </w:rPr>
        <w:t xml:space="preserve">e. </w:t>
      </w:r>
      <w:r>
        <w:rPr>
          <w:rFonts w:ascii="Times New Roman" w:hAnsi="Times New Roman"/>
          <w:b/>
          <w:i w:val="0"/>
          <w:sz w:val="24"/>
        </w:rPr>
        <w:t>Factor (k) — Domestic Violence:</w:t>
      </w:r>
      <w:r>
        <w:rPr>
          <w:rFonts w:ascii="Times New Roman" w:hAnsi="Times New Roman"/>
          <w:b w:val="0"/>
          <w:i w:val="0"/>
          <w:sz w:val="24"/>
        </w:rPr>
        <w:t xml:space="preserve"> The Court has relied on contested and unsubstantiated allegations of domestic violence to restrict Plaintiff/Father's parenting time, while failing to apply the statutory framework of MCL 722.23 with the evidentiary rigor required. PPO proceedings have been used as a proxy for domestic violence findings without the procedural protections of a full evidentiary hearing. [VERIFY — cite specific orders relying on unsubstantiated DV allegations.]</w:t>
      </w:r>
    </w:p>
    <w:p>
      <w:pPr>
        <w:spacing w:line="480" w:lineRule="auto" w:after="0" w:before="0"/>
      </w:pPr>
      <w:r>
        <w:rPr>
          <w:rFonts w:ascii="Times New Roman" w:hAnsi="Times New Roman"/>
          <w:b/>
          <w:sz w:val="24"/>
        </w:rPr>
        <w:t xml:space="preserve">28. </w:t>
      </w:r>
      <w:r>
        <w:rPr>
          <w:rFonts w:ascii="Times New Roman" w:hAnsi="Times New Roman"/>
          <w:b w:val="0"/>
          <w:i w:val="0"/>
          <w:sz w:val="24"/>
        </w:rPr>
        <w:t xml:space="preserve">The failure to properly apply the BIF is not merely legal error — it is evidence of bias. A court that systematically fails to weigh the evidence under the mandatory statutory framework, and that consistently resolves factual disputes against the same party regardless of the evidence, is not making good-faith legal errors. It is prejudging outcomes. </w:t>
      </w:r>
      <w:r>
        <w:rPr>
          <w:rFonts w:ascii="Times New Roman" w:hAnsi="Times New Roman"/>
          <w:b w:val="0"/>
          <w:i/>
          <w:sz w:val="24"/>
        </w:rPr>
        <w:t>See In re MKK</w:t>
      </w:r>
      <w:r>
        <w:rPr>
          <w:rFonts w:ascii="Times New Roman" w:hAnsi="Times New Roman"/>
          <w:b w:val="0"/>
          <w:i w:val="0"/>
          <w:sz w:val="24"/>
        </w:rPr>
        <w:t>, 286 Mich App 546, 557 (2009) (failure to make required findings may indicate bias warranting disqualification).</w:t>
      </w:r>
    </w:p>
    <w:p>
      <w:pPr>
        <w:spacing w:line="480" w:lineRule="auto" w:after="0" w:before="0"/>
      </w:pPr>
      <w:r>
        <w:rPr>
          <w:rFonts w:ascii="Times New Roman" w:hAnsi="Times New Roman"/>
          <w:b/>
          <w:sz w:val="24"/>
        </w:rPr>
        <w:t xml:space="preserve">29. </w:t>
      </w:r>
      <w:r>
        <w:rPr>
          <w:rFonts w:ascii="Times New Roman" w:hAnsi="Times New Roman"/>
          <w:b w:val="0"/>
          <w:i w:val="0"/>
          <w:sz w:val="24"/>
        </w:rPr>
        <w:t xml:space="preserve">The </w:t>
      </w:r>
      <w:r>
        <w:rPr>
          <w:rFonts w:ascii="Times New Roman" w:hAnsi="Times New Roman"/>
          <w:b/>
          <w:i w:val="0"/>
          <w:sz w:val="24"/>
        </w:rPr>
        <w:t>Best Interest Factor analysis</w:t>
      </w:r>
      <w:r>
        <w:rPr>
          <w:rFonts w:ascii="Times New Roman" w:hAnsi="Times New Roman"/>
          <w:b w:val="0"/>
          <w:i w:val="0"/>
          <w:sz w:val="24"/>
        </w:rPr>
        <w:t xml:space="preserve"> in this case has been reduced to a rubber stamp for outcomes predetermined by judicial bias, rather than the deliberate, evidence-based, factor-by-factor inquiry mandated by the Legislature and the Michigan Supreme Court.</w:t>
      </w:r>
    </w:p>
    <w:p>
      <w:pPr>
        <w:pStyle w:val="Heading3"/>
      </w:pPr>
      <w:r>
        <w:rPr>
          <w:rFonts w:ascii="Times New Roman" w:hAnsi="Times New Roman"/>
        </w:rPr>
        <w:t>E. Denial and Restriction of Parenting Time Without Evidentiary Basis</w:t>
      </w:r>
    </w:p>
    <w:p>
      <w:pPr>
        <w:spacing w:line="480" w:lineRule="auto" w:after="0" w:before="0"/>
      </w:pPr>
      <w:r>
        <w:rPr>
          <w:rFonts w:ascii="Times New Roman" w:hAnsi="Times New Roman"/>
          <w:b/>
          <w:sz w:val="24"/>
        </w:rPr>
        <w:t xml:space="preserve">30. </w:t>
      </w:r>
      <w:r>
        <w:rPr>
          <w:rFonts w:ascii="Times New Roman" w:hAnsi="Times New Roman"/>
          <w:b w:val="0"/>
          <w:i w:val="0"/>
          <w:sz w:val="24"/>
        </w:rPr>
        <w:t xml:space="preserve">Plaintiff/Father's parenting time has been progressively restricted and ultimately denied without the specific findings of endangerment required by Michigan law. MCL 722.27a(7) provides that parenting time shall be granted "in a frequency, duration, and type reasonably calculated to promote a strong relationship between the child and the parent." Restriction or denial of parenting time requires specific findings that parenting time would endanger the child's physical, mental, or emotional health. </w:t>
      </w:r>
      <w:r>
        <w:rPr>
          <w:rFonts w:ascii="Times New Roman" w:hAnsi="Times New Roman"/>
          <w:b w:val="0"/>
          <w:i/>
          <w:sz w:val="24"/>
        </w:rPr>
        <w:t>Shade v. Wright</w:t>
      </w:r>
      <w:r>
        <w:rPr>
          <w:rFonts w:ascii="Times New Roman" w:hAnsi="Times New Roman"/>
          <w:b w:val="0"/>
          <w:i w:val="0"/>
          <w:sz w:val="24"/>
        </w:rPr>
        <w:t>, 291 Mich App 17 (2010).</w:t>
      </w:r>
    </w:p>
    <w:p>
      <w:pPr>
        <w:spacing w:line="480" w:lineRule="auto" w:after="0" w:before="0"/>
      </w:pPr>
      <w:r>
        <w:rPr>
          <w:rFonts w:ascii="Times New Roman" w:hAnsi="Times New Roman"/>
          <w:b/>
          <w:sz w:val="24"/>
        </w:rPr>
        <w:t xml:space="preserve">31. </w:t>
      </w:r>
      <w:r>
        <w:rPr>
          <w:rFonts w:ascii="Times New Roman" w:hAnsi="Times New Roman"/>
          <w:b w:val="0"/>
          <w:i w:val="0"/>
          <w:sz w:val="24"/>
        </w:rPr>
        <w:t>On information and belief, Plaintiff/Father's last substantive parenting time with L.D.W. occurred on or about July 29, 2025. [VERIFY — confirm exact date of last parenting time.] Since that date, Plaintiff/Father has been denied parenting time without a proper evidentiary hearing at which the Court made specific, child-focused findings of endangerment.</w:t>
      </w:r>
    </w:p>
    <w:p>
      <w:pPr>
        <w:spacing w:line="480" w:lineRule="auto" w:after="0" w:before="0"/>
      </w:pPr>
      <w:r>
        <w:rPr>
          <w:rFonts w:ascii="Times New Roman" w:hAnsi="Times New Roman"/>
          <w:b/>
          <w:sz w:val="24"/>
        </w:rPr>
        <w:t xml:space="preserve">32. </w:t>
      </w:r>
      <w:r>
        <w:rPr>
          <w:rFonts w:ascii="Times New Roman" w:hAnsi="Times New Roman"/>
          <w:b w:val="0"/>
          <w:i w:val="0"/>
          <w:sz w:val="24"/>
        </w:rPr>
        <w:t xml:space="preserve">The denial of parenting time constitutes a de facto termination of the parent-child relationship, which implicates the fundamental constitutional right to the care, custody, and companionship of one's child. </w:t>
      </w:r>
      <w:r>
        <w:rPr>
          <w:rFonts w:ascii="Times New Roman" w:hAnsi="Times New Roman"/>
          <w:b w:val="0"/>
          <w:i/>
          <w:sz w:val="24"/>
        </w:rPr>
        <w:t>Troxel v. Granville</w:t>
      </w:r>
      <w:r>
        <w:rPr>
          <w:rFonts w:ascii="Times New Roman" w:hAnsi="Times New Roman"/>
          <w:b w:val="0"/>
          <w:i w:val="0"/>
          <w:sz w:val="24"/>
        </w:rPr>
        <w:t xml:space="preserve">, 530 U.S. 57 (2000); </w:t>
      </w:r>
      <w:r>
        <w:rPr>
          <w:rFonts w:ascii="Times New Roman" w:hAnsi="Times New Roman"/>
          <w:b w:val="0"/>
          <w:i/>
          <w:sz w:val="24"/>
        </w:rPr>
        <w:t>Santosky v. Kramer</w:t>
      </w:r>
      <w:r>
        <w:rPr>
          <w:rFonts w:ascii="Times New Roman" w:hAnsi="Times New Roman"/>
          <w:b w:val="0"/>
          <w:i w:val="0"/>
          <w:sz w:val="24"/>
        </w:rPr>
        <w:t>, 455 U.S. 745 (1982). The Court has accomplished this deprivation through a series of incremental restrictions, each lacking the required evidentiary foundation, rather than through a single order subject to appellate review.</w:t>
      </w:r>
    </w:p>
    <w:p>
      <w:pPr>
        <w:spacing w:line="480" w:lineRule="auto" w:after="0" w:before="0"/>
      </w:pPr>
      <w:r>
        <w:rPr>
          <w:rFonts w:ascii="Times New Roman" w:hAnsi="Times New Roman"/>
          <w:b/>
          <w:sz w:val="24"/>
        </w:rPr>
        <w:t xml:space="preserve">33. </w:t>
      </w:r>
      <w:r>
        <w:rPr>
          <w:rFonts w:ascii="Times New Roman" w:hAnsi="Times New Roman"/>
          <w:b w:val="0"/>
          <w:i w:val="0"/>
          <w:sz w:val="24"/>
        </w:rPr>
        <w:t>The progressive restriction of parenting time follows a predictable pattern [VERIFY — confirm each phase]:</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Phase 1 — Initial Restriction:</w:t>
      </w:r>
      <w:r>
        <w:rPr>
          <w:rFonts w:ascii="Times New Roman" w:hAnsi="Times New Roman"/>
          <w:b w:val="0"/>
          <w:i w:val="0"/>
          <w:sz w:val="24"/>
        </w:rPr>
        <w:t xml:space="preserve"> The Court restricted Plaintiff/Father's parenting time to supervised visitation, without specific findings of endangerment and without identifying what conduct necessitated supervision. [VERIFY — cite specific order and date.]</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Phase 2 — Reduction of Supervised Time:</w:t>
      </w:r>
      <w:r>
        <w:rPr>
          <w:rFonts w:ascii="Times New Roman" w:hAnsi="Times New Roman"/>
          <w:b w:val="0"/>
          <w:i w:val="0"/>
          <w:sz w:val="24"/>
        </w:rPr>
        <w:t xml:space="preserve"> The Court further reduced the frequency and duration of supervised parenting time, again without new evidence of endangerment. [VERIFY — cite specific order and date.]</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Phase 3 — Suspension:</w:t>
      </w:r>
      <w:r>
        <w:rPr>
          <w:rFonts w:ascii="Times New Roman" w:hAnsi="Times New Roman"/>
          <w:b w:val="0"/>
          <w:i w:val="0"/>
          <w:sz w:val="24"/>
        </w:rPr>
        <w:t xml:space="preserve"> The Court suspended parenting time entirely, based on [VERIFY — identify stated basis] without holding an evidentiary hearing at which Plaintiff/Father could present evidence. [VERIFY — cite specific order and date.]</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Phase 4 — De Facto Termination:</w:t>
      </w:r>
      <w:r>
        <w:rPr>
          <w:rFonts w:ascii="Times New Roman" w:hAnsi="Times New Roman"/>
          <w:b w:val="0"/>
          <w:i w:val="0"/>
          <w:sz w:val="24"/>
        </w:rPr>
        <w:t xml:space="preserve"> Since on or about July 29, 2025, Plaintiff/Father has had no parenting time whatsoever, a state of affairs that has persisted for approximately [VERIFY — calculate duration] months. This de facto termination occurred without the procedural protections required for such a severe deprivation of fundamental rights.</w:t>
      </w:r>
    </w:p>
    <w:p>
      <w:pPr>
        <w:spacing w:line="480" w:lineRule="auto" w:after="0" w:before="0"/>
      </w:pPr>
      <w:r>
        <w:rPr>
          <w:rFonts w:ascii="Times New Roman" w:hAnsi="Times New Roman"/>
          <w:b/>
          <w:sz w:val="24"/>
        </w:rPr>
        <w:t xml:space="preserve">34. </w:t>
      </w:r>
      <w:r>
        <w:rPr>
          <w:rFonts w:ascii="Times New Roman" w:hAnsi="Times New Roman"/>
          <w:b w:val="0"/>
          <w:i w:val="0"/>
          <w:sz w:val="24"/>
        </w:rPr>
        <w:t xml:space="preserve">At no point in this progressive restriction has the Court articulated specific, evidence-based findings demonstrating that contact between Plaintiff/Father and L.D.W. would endanger the child. The Court's orders contain conclusory statements rather than the particularized findings required by MCL 722.27a, MCL 722.27a, and the holdings of </w:t>
      </w:r>
      <w:r>
        <w:rPr>
          <w:rFonts w:ascii="Times New Roman" w:hAnsi="Times New Roman"/>
          <w:b w:val="0"/>
          <w:i/>
          <w:sz w:val="24"/>
        </w:rPr>
        <w:t>Vodvarka v. Grasmeyer</w:t>
      </w:r>
      <w:r>
        <w:rPr>
          <w:rFonts w:ascii="Times New Roman" w:hAnsi="Times New Roman"/>
          <w:b w:val="0"/>
          <w:i w:val="0"/>
          <w:sz w:val="24"/>
        </w:rPr>
        <w:t xml:space="preserve">, 259 Mich App 499 (2003) and </w:t>
      </w:r>
      <w:r>
        <w:rPr>
          <w:rFonts w:ascii="Times New Roman" w:hAnsi="Times New Roman"/>
          <w:b w:val="0"/>
          <w:i/>
          <w:sz w:val="24"/>
        </w:rPr>
        <w:t>Shade v. Wright</w:t>
      </w:r>
      <w:r>
        <w:rPr>
          <w:rFonts w:ascii="Times New Roman" w:hAnsi="Times New Roman"/>
          <w:b w:val="0"/>
          <w:i w:val="0"/>
          <w:sz w:val="24"/>
        </w:rPr>
        <w:t>, 291 Mich App 17 (2010).</w:t>
      </w:r>
    </w:p>
    <w:p>
      <w:pPr>
        <w:spacing w:line="480" w:lineRule="auto" w:after="0" w:before="0"/>
      </w:pPr>
      <w:r>
        <w:rPr>
          <w:rFonts w:ascii="Times New Roman" w:hAnsi="Times New Roman"/>
          <w:b/>
          <w:sz w:val="24"/>
        </w:rPr>
        <w:t xml:space="preserve">35. </w:t>
      </w:r>
      <w:r>
        <w:rPr>
          <w:rFonts w:ascii="Times New Roman" w:hAnsi="Times New Roman"/>
          <w:b w:val="0"/>
          <w:i w:val="0"/>
          <w:sz w:val="24"/>
        </w:rPr>
        <w:t xml:space="preserve">The record contains </w:t>
      </w:r>
      <w:r>
        <w:rPr>
          <w:rFonts w:ascii="Times New Roman" w:hAnsi="Times New Roman"/>
          <w:b/>
          <w:i w:val="0"/>
          <w:sz w:val="24"/>
        </w:rPr>
        <w:t>5,752 denial-related references</w:t>
      </w:r>
      <w:r>
        <w:rPr>
          <w:rFonts w:ascii="Times New Roman" w:hAnsi="Times New Roman"/>
          <w:b w:val="0"/>
          <w:i w:val="0"/>
          <w:sz w:val="24"/>
        </w:rPr>
        <w:t xml:space="preserve"> and </w:t>
      </w:r>
      <w:r>
        <w:rPr>
          <w:rFonts w:ascii="Times New Roman" w:hAnsi="Times New Roman"/>
          <w:b/>
          <w:i w:val="0"/>
          <w:sz w:val="24"/>
        </w:rPr>
        <w:t>937 deprivation-related references</w:t>
      </w:r>
      <w:r>
        <w:rPr>
          <w:rFonts w:ascii="Times New Roman" w:hAnsi="Times New Roman"/>
          <w:b w:val="0"/>
          <w:i w:val="0"/>
          <w:sz w:val="24"/>
        </w:rPr>
        <w:t>, reflecting the systematic nature of the restriction of Plaintiff/Father's rights. The denial of parenting time without evidentiary basis is among the most powerful indicators of judicial bias, because it directly harms the child whose interests the Court is ostensibly protecting.</w:t>
      </w:r>
    </w:p>
    <w:p>
      <w:pPr>
        <w:pStyle w:val="Heading3"/>
      </w:pPr>
      <w:r>
        <w:rPr>
          <w:rFonts w:ascii="Times New Roman" w:hAnsi="Times New Roman"/>
        </w:rPr>
        <w:t>F. Pattern of Favoring Watson/Rusco Interests</w:t>
      </w:r>
    </w:p>
    <w:p>
      <w:pPr>
        <w:spacing w:line="480" w:lineRule="auto" w:after="0" w:before="0"/>
      </w:pPr>
      <w:r>
        <w:rPr>
          <w:rFonts w:ascii="Times New Roman" w:hAnsi="Times New Roman"/>
          <w:b/>
          <w:sz w:val="24"/>
        </w:rPr>
        <w:t xml:space="preserve">36. </w:t>
      </w:r>
      <w:r>
        <w:rPr>
          <w:rFonts w:ascii="Times New Roman" w:hAnsi="Times New Roman"/>
          <w:b w:val="0"/>
          <w:i w:val="0"/>
          <w:sz w:val="24"/>
        </w:rPr>
        <w:t>The record demonstrates a consistent pattern in which the interests of Defendant/Mother Emily Watson and Attorney/GAL Rusco have been advanced at the expense of Plaintiff/Father's rights and, critically, at the expense of the minor child's right to a meaningful relationship with both parents.</w:t>
      </w:r>
    </w:p>
    <w:p>
      <w:pPr>
        <w:spacing w:line="480" w:lineRule="auto" w:after="0" w:before="0"/>
      </w:pPr>
      <w:r>
        <w:rPr>
          <w:rFonts w:ascii="Times New Roman" w:hAnsi="Times New Roman"/>
          <w:b/>
          <w:sz w:val="24"/>
        </w:rPr>
        <w:t xml:space="preserve">37. </w:t>
      </w:r>
      <w:r>
        <w:rPr>
          <w:rFonts w:ascii="Times New Roman" w:hAnsi="Times New Roman"/>
          <w:b w:val="0"/>
          <w:i w:val="0"/>
          <w:sz w:val="24"/>
        </w:rPr>
        <w:t xml:space="preserve">Defendant/Mother Emily Watson is referenced </w:t>
      </w:r>
      <w:r>
        <w:rPr>
          <w:rFonts w:ascii="Times New Roman" w:hAnsi="Times New Roman"/>
          <w:b/>
          <w:i w:val="0"/>
          <w:sz w:val="24"/>
        </w:rPr>
        <w:t>15,925 times</w:t>
      </w:r>
      <w:r>
        <w:rPr>
          <w:rFonts w:ascii="Times New Roman" w:hAnsi="Times New Roman"/>
          <w:b w:val="0"/>
          <w:i w:val="0"/>
          <w:sz w:val="24"/>
        </w:rPr>
        <w:t xml:space="preserve"> across the case corpus, while Attorney/GAL Rusco is referenced </w:t>
      </w:r>
      <w:r>
        <w:rPr>
          <w:rFonts w:ascii="Times New Roman" w:hAnsi="Times New Roman"/>
          <w:b/>
          <w:i w:val="0"/>
          <w:sz w:val="24"/>
        </w:rPr>
        <w:t>3,290 times</w:t>
      </w:r>
      <w:r>
        <w:rPr>
          <w:rFonts w:ascii="Times New Roman" w:hAnsi="Times New Roman"/>
          <w:b w:val="0"/>
          <w:i w:val="0"/>
          <w:sz w:val="24"/>
        </w:rPr>
        <w:t>. The Watson family — including Albert Watson (2,546 references), Lori Watson (1,564 references), and Cody Watson (1,369 references) — collectively accounts for a substantial portion of the record, reflecting the degree to which the Watson family has been permitted to influence proceedings.</w:t>
      </w:r>
    </w:p>
    <w:p>
      <w:pPr>
        <w:spacing w:line="480" w:lineRule="auto" w:after="0" w:before="0"/>
      </w:pPr>
      <w:r>
        <w:rPr>
          <w:rFonts w:ascii="Times New Roman" w:hAnsi="Times New Roman"/>
          <w:b/>
          <w:sz w:val="24"/>
        </w:rPr>
        <w:t xml:space="preserve">38. </w:t>
      </w:r>
      <w:r>
        <w:rPr>
          <w:rFonts w:ascii="Times New Roman" w:hAnsi="Times New Roman"/>
          <w:b w:val="0"/>
          <w:i w:val="0"/>
          <w:sz w:val="24"/>
        </w:rPr>
        <w:t>Specific instances of favoritism include [VERIFY — confirm each]:</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Credibility Determinations:</w:t>
      </w:r>
      <w:r>
        <w:rPr>
          <w:rFonts w:ascii="Times New Roman" w:hAnsi="Times New Roman"/>
          <w:b w:val="0"/>
          <w:i w:val="0"/>
          <w:sz w:val="24"/>
        </w:rPr>
        <w:t xml:space="preserve"> The Court has consistently credited Defendant/Mother's testimony over Plaintiff/Father's testimony, even where Defendant/Mother's testimony is contradicted by documentary evidence. The record contains </w:t>
      </w:r>
      <w:r>
        <w:rPr>
          <w:rFonts w:ascii="Times New Roman" w:hAnsi="Times New Roman"/>
          <w:b/>
          <w:i w:val="0"/>
          <w:sz w:val="24"/>
        </w:rPr>
        <w:t>10,508 credibility-related violation references</w:t>
      </w:r>
      <w:r>
        <w:rPr>
          <w:rFonts w:ascii="Times New Roman" w:hAnsi="Times New Roman"/>
          <w:b w:val="0"/>
          <w:i w:val="0"/>
          <w:sz w:val="24"/>
        </w:rPr>
        <w:t xml:space="preserve">, including </w:t>
      </w:r>
      <w:r>
        <w:rPr>
          <w:rFonts w:ascii="Times New Roman" w:hAnsi="Times New Roman"/>
          <w:b/>
          <w:i w:val="0"/>
          <w:sz w:val="24"/>
        </w:rPr>
        <w:t>6,548 false-statement references</w:t>
      </w:r>
      <w:r>
        <w:rPr>
          <w:rFonts w:ascii="Times New Roman" w:hAnsi="Times New Roman"/>
          <w:b w:val="0"/>
          <w:i w:val="0"/>
          <w:sz w:val="24"/>
        </w:rPr>
        <w:t xml:space="preserve"> within the credibility analysis alone, reflecting the pervasiveness of false representations in Defendant/Mother's case. [VERIFY — cite specific credibility findings and contradicting evidence.]</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GAL Recommendations Adopted Without Scrutiny:</w:t>
      </w:r>
      <w:r>
        <w:rPr>
          <w:rFonts w:ascii="Times New Roman" w:hAnsi="Times New Roman"/>
          <w:b w:val="0"/>
          <w:i w:val="0"/>
          <w:sz w:val="24"/>
        </w:rPr>
        <w:t xml:space="preserve"> Attorney/GAL Rusco's recommendations have been adopted by the Court as if they were judicial findings, without the Court conducting an independent evaluation of the evidence. The Court has treated the GAL's position as dispositive rather than advisory, effectively delegating judicial decision-making to a party advocate. [VERIFY — cite specific orders that track Rusco's recommendations verbatim.]</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Accommodation of Watson Scheduling and Procedural Requests:</w:t>
      </w:r>
      <w:r>
        <w:rPr>
          <w:rFonts w:ascii="Times New Roman" w:hAnsi="Times New Roman"/>
          <w:b w:val="0"/>
          <w:i w:val="0"/>
          <w:sz w:val="24"/>
        </w:rPr>
        <w:t xml:space="preserve"> The Court has granted Defendant/Mother's requests for continuances, extensions, and procedural accommodations while denying similar requests from Plaintiff/Father. [VERIFY — cite specific instances of differential treatment in scheduling.]</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Failure to Enforce Orders Against Defendant/Mother:</w:t>
      </w:r>
      <w:r>
        <w:rPr>
          <w:rFonts w:ascii="Times New Roman" w:hAnsi="Times New Roman"/>
          <w:b w:val="0"/>
          <w:i w:val="0"/>
          <w:sz w:val="24"/>
        </w:rPr>
        <w:t xml:space="preserve"> While the Court has vigorously enforced its orders against Plaintiff/Father — including through contempt proceedings and sanctions — it has failed to enforce comparable orders against Defendant/Mother. The record reflects </w:t>
      </w:r>
      <w:r>
        <w:rPr>
          <w:rFonts w:ascii="Times New Roman" w:hAnsi="Times New Roman"/>
          <w:b/>
          <w:i w:val="0"/>
          <w:sz w:val="24"/>
        </w:rPr>
        <w:t>14,836 contempt-related references</w:t>
      </w:r>
      <w:r>
        <w:rPr>
          <w:rFonts w:ascii="Times New Roman" w:hAnsi="Times New Roman"/>
          <w:b w:val="0"/>
          <w:i w:val="0"/>
          <w:sz w:val="24"/>
        </w:rPr>
        <w:t xml:space="preserve"> in the contempt analysis, yet contempt enforcement has been overwhelmingly one-directional. [VERIFY — cite specific instances of unenforced orders against Watson.]</w:t>
      </w:r>
    </w:p>
    <w:p>
      <w:pPr>
        <w:spacing w:line="480" w:lineRule="auto" w:after="0" w:before="0"/>
      </w:pPr>
      <w:r>
        <w:rPr>
          <w:rFonts w:ascii="Times New Roman" w:hAnsi="Times New Roman"/>
          <w:b w:val="0"/>
          <w:i w:val="0"/>
          <w:sz w:val="24"/>
        </w:rPr>
        <w:t xml:space="preserve">e. </w:t>
      </w:r>
      <w:r>
        <w:rPr>
          <w:rFonts w:ascii="Times New Roman" w:hAnsi="Times New Roman"/>
          <w:b/>
          <w:i w:val="0"/>
          <w:sz w:val="24"/>
        </w:rPr>
        <w:t>Adoption of Watson/Rusco Factual Narrative:</w:t>
      </w:r>
      <w:r>
        <w:rPr>
          <w:rFonts w:ascii="Times New Roman" w:hAnsi="Times New Roman"/>
          <w:b w:val="0"/>
          <w:i w:val="0"/>
          <w:sz w:val="24"/>
        </w:rPr>
        <w:t xml:space="preserve"> The Court's findings of fact consistently track the narrative advanced by Defendant/Mother and Attorney/GAL Rusco, while disregarding or failing to address the evidence and narrative presented by Plaintiff/Father. This wholesale adoption of one party's narrative is inconsistent with independent judicial fact-finding. [VERIFY — cite specific findings that mirror Watson/Rusco submissions.]</w:t>
      </w:r>
    </w:p>
    <w:p>
      <w:pPr>
        <w:spacing w:line="480" w:lineRule="auto" w:after="0" w:before="0"/>
      </w:pPr>
      <w:r>
        <w:rPr>
          <w:rFonts w:ascii="Times New Roman" w:hAnsi="Times New Roman"/>
          <w:b/>
          <w:sz w:val="24"/>
        </w:rPr>
        <w:t xml:space="preserve">39. </w:t>
      </w:r>
      <w:r>
        <w:rPr>
          <w:rFonts w:ascii="Times New Roman" w:hAnsi="Times New Roman"/>
          <w:b w:val="0"/>
          <w:i w:val="0"/>
          <w:sz w:val="24"/>
        </w:rPr>
        <w:t>The cumulative effect of this favoritism is that Plaintiff/Father has been effectively excluded from meaningful participation in the adjudication of his child's custody and welfare. The Court has functioned not as a neutral tribunal but as an extension of Defendant/Mother's litigation strategy.</w:t>
      </w:r>
    </w:p>
    <w:p>
      <w:pPr>
        <w:pStyle w:val="Heading3"/>
      </w:pPr>
      <w:r>
        <w:rPr>
          <w:rFonts w:ascii="Times New Roman" w:hAnsi="Times New Roman"/>
        </w:rPr>
        <w:t>G. Retaliatory Conduct and Chilling of Litigation Rights</w:t>
      </w:r>
    </w:p>
    <w:p>
      <w:pPr>
        <w:spacing w:line="480" w:lineRule="auto" w:after="0" w:before="0"/>
      </w:pPr>
      <w:r>
        <w:rPr>
          <w:rFonts w:ascii="Times New Roman" w:hAnsi="Times New Roman"/>
          <w:b/>
          <w:sz w:val="24"/>
        </w:rPr>
        <w:t xml:space="preserve">40. </w:t>
      </w:r>
      <w:r>
        <w:rPr>
          <w:rFonts w:ascii="Times New Roman" w:hAnsi="Times New Roman"/>
          <w:b w:val="0"/>
          <w:i w:val="0"/>
          <w:sz w:val="24"/>
        </w:rPr>
        <w:t>The Court's conduct toward Plaintiff/Father reflects a pattern of retaliation against Plaintiff/Father for exercising his legal rights, including his right to file motions, his right to appeal, and his right to seek judicial redress for violations of his parenting time and constitutional rights.</w:t>
      </w:r>
    </w:p>
    <w:p>
      <w:pPr>
        <w:spacing w:line="480" w:lineRule="auto" w:after="0" w:before="0"/>
      </w:pPr>
      <w:r>
        <w:rPr>
          <w:rFonts w:ascii="Times New Roman" w:hAnsi="Times New Roman"/>
          <w:b/>
          <w:sz w:val="24"/>
        </w:rPr>
        <w:t xml:space="preserve">41. </w:t>
      </w:r>
      <w:r>
        <w:rPr>
          <w:rFonts w:ascii="Times New Roman" w:hAnsi="Times New Roman"/>
          <w:b w:val="0"/>
          <w:i w:val="0"/>
          <w:sz w:val="24"/>
        </w:rPr>
        <w:t xml:space="preserve">The record contains </w:t>
      </w:r>
      <w:r>
        <w:rPr>
          <w:rFonts w:ascii="Times New Roman" w:hAnsi="Times New Roman"/>
          <w:b/>
          <w:i w:val="0"/>
          <w:sz w:val="24"/>
        </w:rPr>
        <w:t>1,316 retaliation-related references</w:t>
      </w:r>
      <w:r>
        <w:rPr>
          <w:rFonts w:ascii="Times New Roman" w:hAnsi="Times New Roman"/>
          <w:b w:val="0"/>
          <w:i w:val="0"/>
          <w:sz w:val="24"/>
        </w:rPr>
        <w:t xml:space="preserve"> and </w:t>
      </w:r>
      <w:r>
        <w:rPr>
          <w:rFonts w:ascii="Times New Roman" w:hAnsi="Times New Roman"/>
          <w:b/>
          <w:i w:val="0"/>
          <w:sz w:val="24"/>
        </w:rPr>
        <w:t>2,114 harassment-related references</w:t>
      </w:r>
      <w:r>
        <w:rPr>
          <w:rFonts w:ascii="Times New Roman" w:hAnsi="Times New Roman"/>
          <w:b w:val="0"/>
          <w:i w:val="0"/>
          <w:sz w:val="24"/>
        </w:rPr>
        <w:t>, reflecting the pattern of punitive judicial conduct directed at Plaintiff/Father.</w:t>
      </w:r>
    </w:p>
    <w:p>
      <w:pPr>
        <w:spacing w:line="480" w:lineRule="auto" w:after="0" w:before="0"/>
      </w:pPr>
      <w:r>
        <w:rPr>
          <w:rFonts w:ascii="Times New Roman" w:hAnsi="Times New Roman"/>
          <w:b/>
          <w:sz w:val="24"/>
        </w:rPr>
        <w:t xml:space="preserve">42. </w:t>
      </w:r>
      <w:r>
        <w:rPr>
          <w:rFonts w:ascii="Times New Roman" w:hAnsi="Times New Roman"/>
          <w:b w:val="0"/>
          <w:i w:val="0"/>
          <w:sz w:val="24"/>
        </w:rPr>
        <w:t>Specific retaliatory acts include [VERIFY — confirm each]:</w:t>
      </w:r>
    </w:p>
    <w:p>
      <w:pPr>
        <w:spacing w:line="480" w:lineRule="auto" w:after="0" w:before="0"/>
      </w:pPr>
      <w:r>
        <w:rPr>
          <w:rFonts w:ascii="Times New Roman" w:hAnsi="Times New Roman"/>
          <w:b w:val="0"/>
          <w:i w:val="0"/>
          <w:sz w:val="24"/>
        </w:rPr>
        <w:t>a. Threatening or imposing sanctions for filing motions that the Court deems "frivolous," where those motions raise legitimate legal issues concerning parenting time enforcement, contempt, and constitutional rights. [VERIFY — cite specific sanction orders or threats with dates.]</w:t>
      </w:r>
    </w:p>
    <w:p>
      <w:pPr>
        <w:spacing w:line="480" w:lineRule="auto" w:after="0" w:before="0"/>
      </w:pPr>
      <w:r>
        <w:rPr>
          <w:rFonts w:ascii="Times New Roman" w:hAnsi="Times New Roman"/>
          <w:b w:val="0"/>
          <w:i w:val="0"/>
          <w:sz w:val="24"/>
        </w:rPr>
        <w:t>b. Restricting Plaintiff/Father's ability to file motions without prior court approval, effectively requiring Plaintiff/Father to obtain permission to access the courts. [VERIFY — cite specific order restricting filing rights.]</w:t>
      </w:r>
    </w:p>
    <w:p>
      <w:pPr>
        <w:spacing w:line="480" w:lineRule="auto" w:after="0" w:before="0"/>
      </w:pPr>
      <w:r>
        <w:rPr>
          <w:rFonts w:ascii="Times New Roman" w:hAnsi="Times New Roman"/>
          <w:b w:val="0"/>
          <w:i w:val="0"/>
          <w:sz w:val="24"/>
        </w:rPr>
        <w:t>c. Making adverse rulings that appear temporally connected to Plaintiff/Father's exercise of appellate rights or filing of complaints with oversight bodies. [VERIFY — identify specific timeline connections between appeals/complaints and adverse rulings.]</w:t>
      </w:r>
    </w:p>
    <w:p>
      <w:pPr>
        <w:spacing w:line="480" w:lineRule="auto" w:after="0" w:before="0"/>
      </w:pPr>
      <w:r>
        <w:rPr>
          <w:rFonts w:ascii="Times New Roman" w:hAnsi="Times New Roman"/>
          <w:b w:val="0"/>
          <w:i w:val="0"/>
          <w:sz w:val="24"/>
        </w:rPr>
        <w:t>d. Issuing orders that escalate restrictions on Plaintiff/Father in response to Plaintiff/Father's challenges to prior orders, creating a cycle of retaliation that discourages the exercise of legal rights. [VERIFY — identify specific escalation pattern with order dates.]</w:t>
      </w:r>
    </w:p>
    <w:p>
      <w:pPr>
        <w:spacing w:line="480" w:lineRule="auto" w:after="0" w:before="0"/>
      </w:pPr>
      <w:r>
        <w:rPr>
          <w:rFonts w:ascii="Times New Roman" w:hAnsi="Times New Roman"/>
          <w:b/>
          <w:sz w:val="24"/>
        </w:rPr>
        <w:t xml:space="preserve">43. </w:t>
      </w:r>
      <w:r>
        <w:rPr>
          <w:rFonts w:ascii="Times New Roman" w:hAnsi="Times New Roman"/>
          <w:b w:val="0"/>
          <w:i w:val="0"/>
          <w:sz w:val="24"/>
        </w:rPr>
        <w:t xml:space="preserve">This pattern of retaliatory conduct has a chilling effect on Plaintiff/Father's constitutional right of access to the courts, as recognized in </w:t>
      </w:r>
      <w:r>
        <w:rPr>
          <w:rFonts w:ascii="Times New Roman" w:hAnsi="Times New Roman"/>
          <w:b w:val="0"/>
          <w:i/>
          <w:sz w:val="24"/>
        </w:rPr>
        <w:t>Boddie v. Connecticut</w:t>
      </w:r>
      <w:r>
        <w:rPr>
          <w:rFonts w:ascii="Times New Roman" w:hAnsi="Times New Roman"/>
          <w:b w:val="0"/>
          <w:i w:val="0"/>
          <w:sz w:val="24"/>
        </w:rPr>
        <w:t>, 401 U.S. 371 (1971), and constitutes an independent basis for disqualification.</w:t>
      </w:r>
    </w:p>
    <w:p>
      <w:pPr>
        <w:pStyle w:val="Heading3"/>
      </w:pPr>
      <w:r>
        <w:rPr>
          <w:rFonts w:ascii="Times New Roman" w:hAnsi="Times New Roman"/>
        </w:rPr>
        <w:t>H. Financial Impact and Disproportionate Economic Burden</w:t>
      </w:r>
    </w:p>
    <w:p>
      <w:pPr>
        <w:spacing w:line="480" w:lineRule="auto" w:after="0" w:before="0"/>
      </w:pPr>
      <w:r>
        <w:rPr>
          <w:rFonts w:ascii="Times New Roman" w:hAnsi="Times New Roman"/>
          <w:b/>
          <w:sz w:val="24"/>
        </w:rPr>
        <w:t xml:space="preserve">44. </w:t>
      </w:r>
      <w:r>
        <w:rPr>
          <w:rFonts w:ascii="Times New Roman" w:hAnsi="Times New Roman"/>
          <w:b w:val="0"/>
          <w:i w:val="0"/>
          <w:sz w:val="24"/>
        </w:rPr>
        <w:t xml:space="preserve">The Court's pattern of biased rulings has imposed a disproportionate financial burden on Plaintiff/Father. The financial impact analysis reveals references to dollar amounts totaling approximately </w:t>
      </w:r>
      <w:r>
        <w:rPr>
          <w:rFonts w:ascii="Times New Roman" w:hAnsi="Times New Roman"/>
          <w:b/>
          <w:i w:val="0"/>
          <w:sz w:val="24"/>
        </w:rPr>
        <w:t>$58.6 million</w:t>
      </w:r>
      <w:r>
        <w:rPr>
          <w:rFonts w:ascii="Times New Roman" w:hAnsi="Times New Roman"/>
          <w:b w:val="0"/>
          <w:i w:val="0"/>
          <w:sz w:val="24"/>
        </w:rPr>
        <w:t xml:space="preserve"> across the case corpus, with the largest individual damage claim documented at </w:t>
      </w:r>
      <w:r>
        <w:rPr>
          <w:rFonts w:ascii="Times New Roman" w:hAnsi="Times New Roman"/>
          <w:b/>
          <w:i w:val="0"/>
          <w:sz w:val="24"/>
        </w:rPr>
        <w:t>$655,200</w:t>
      </w:r>
      <w:r>
        <w:rPr>
          <w:rFonts w:ascii="Times New Roman" w:hAnsi="Times New Roman"/>
          <w:b w:val="0"/>
          <w:i w:val="0"/>
          <w:sz w:val="24"/>
        </w:rPr>
        <w:t xml:space="preserve"> in specific quantified losses [VERIFY — confirm actual claimed damages], and support obligations and financial sanctions that have been imposed without proper consideration of Plaintiff/Father's financial circumstances.</w:t>
      </w:r>
    </w:p>
    <w:p>
      <w:pPr>
        <w:spacing w:line="480" w:lineRule="auto" w:after="0" w:before="0"/>
      </w:pPr>
      <w:r>
        <w:rPr>
          <w:rFonts w:ascii="Times New Roman" w:hAnsi="Times New Roman"/>
          <w:b/>
          <w:sz w:val="24"/>
        </w:rPr>
        <w:t xml:space="preserve">45. </w:t>
      </w:r>
      <w:r>
        <w:rPr>
          <w:rFonts w:ascii="Times New Roman" w:hAnsi="Times New Roman"/>
          <w:b w:val="0"/>
          <w:i w:val="0"/>
          <w:sz w:val="24"/>
        </w:rPr>
        <w:t>The Court has entered or enforced financial orders including child support calculations under MCL 552.603 (</w:t>
      </w:r>
      <w:r>
        <w:rPr>
          <w:rFonts w:ascii="Times New Roman" w:hAnsi="Times New Roman"/>
          <w:b/>
          <w:i w:val="0"/>
          <w:sz w:val="24"/>
        </w:rPr>
        <w:t>1,475 references</w:t>
      </w:r>
      <w:r>
        <w:rPr>
          <w:rFonts w:ascii="Times New Roman" w:hAnsi="Times New Roman"/>
          <w:b w:val="0"/>
          <w:i w:val="0"/>
          <w:sz w:val="24"/>
        </w:rPr>
        <w:t>), support enforcement under MCL 552.605 (</w:t>
      </w:r>
      <w:r>
        <w:rPr>
          <w:rFonts w:ascii="Times New Roman" w:hAnsi="Times New Roman"/>
          <w:b/>
          <w:i w:val="0"/>
          <w:sz w:val="24"/>
        </w:rPr>
        <w:t>685 references</w:t>
      </w:r>
      <w:r>
        <w:rPr>
          <w:rFonts w:ascii="Times New Roman" w:hAnsi="Times New Roman"/>
          <w:b w:val="0"/>
          <w:i w:val="0"/>
          <w:sz w:val="24"/>
        </w:rPr>
        <w:t>), and related financial provisions, in a manner that reflects the same one-sided pattern evident in the custody and parenting time context. [VERIFY — cite specific financial orders and their alleged deficiencies.]</w:t>
      </w:r>
    </w:p>
    <w:p>
      <w:r>
        <w:br w:type="page"/>
      </w:r>
    </w:p>
    <w:p>
      <w:pPr>
        <w:pStyle w:val="Heading2"/>
      </w:pPr>
      <w:r>
        <w:rPr>
          <w:rFonts w:ascii="Times New Roman" w:hAnsi="Times New Roman"/>
        </w:rPr>
        <w:t>IV. LEGAL STANDARD FOR JUDICIAL DISQUALIFICATION</w:t>
      </w:r>
    </w:p>
    <w:p>
      <w:pPr>
        <w:pStyle w:val="Heading3"/>
      </w:pPr>
      <w:r>
        <w:rPr>
          <w:rFonts w:ascii="Times New Roman" w:hAnsi="Times New Roman"/>
        </w:rPr>
        <w:t>A. MCR 2.003(C)(1): Personal Bias or Prejudice</w:t>
      </w:r>
    </w:p>
    <w:p>
      <w:pPr>
        <w:spacing w:line="480" w:lineRule="auto" w:after="0" w:before="0"/>
      </w:pPr>
      <w:r>
        <w:rPr>
          <w:rFonts w:ascii="Times New Roman" w:hAnsi="Times New Roman"/>
          <w:b/>
          <w:sz w:val="24"/>
        </w:rPr>
        <w:t xml:space="preserve">46. </w:t>
      </w:r>
      <w:r>
        <w:rPr>
          <w:rFonts w:ascii="Times New Roman" w:hAnsi="Times New Roman"/>
          <w:b w:val="0"/>
          <w:i w:val="0"/>
          <w:sz w:val="24"/>
        </w:rPr>
        <w:t>MCR 2.003(C)(1) provides that a judge is disqualified when the judge is "personally biased or prejudiced for or against a party or attorney." The rule specifically identifies the following grounds for disqualification, among others:</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(a)</w:t>
      </w:r>
      <w:r>
        <w:rPr>
          <w:rFonts w:ascii="Times New Roman" w:hAnsi="Times New Roman"/>
          <w:b w:val="0"/>
          <w:i w:val="0"/>
          <w:sz w:val="24"/>
        </w:rPr>
        <w:t xml:space="preserve"> The judge is biased or prejudiced for or against a party or attorney. &gt; &gt; </w:t>
      </w:r>
      <w:r>
        <w:rPr>
          <w:rFonts w:ascii="Times New Roman" w:hAnsi="Times New Roman"/>
          <w:b/>
          <w:i w:val="0"/>
          <w:sz w:val="24"/>
        </w:rPr>
        <w:t>(b)</w:t>
      </w:r>
      <w:r>
        <w:rPr>
          <w:rFonts w:ascii="Times New Roman" w:hAnsi="Times New Roman"/>
          <w:b w:val="0"/>
          <w:i w:val="0"/>
          <w:sz w:val="24"/>
        </w:rPr>
        <w:t xml:space="preserve"> The judge, based on objective and reasonable perceptions, has either (i) a serious risk of actual bias impacting the due process rights of a party as enunciated in </w:t>
      </w:r>
      <w:r>
        <w:rPr>
          <w:rFonts w:ascii="Times New Roman" w:hAnsi="Times New Roman"/>
          <w:b w:val="0"/>
          <w:i/>
          <w:sz w:val="24"/>
        </w:rPr>
        <w:t>Caperton v A.T. Massey Coal Co</w:t>
      </w:r>
      <w:r>
        <w:rPr>
          <w:rFonts w:ascii="Times New Roman" w:hAnsi="Times New Roman"/>
          <w:b w:val="0"/>
          <w:i w:val="0"/>
          <w:sz w:val="24"/>
        </w:rPr>
        <w:t>, 556 U.S. 868 (2009), or (ii) has failed to adhere to the appearance of impropriety standard set forth in Canon 2 of the Michigan Code of Judicial Conduct.</w:t>
      </w:r>
    </w:p>
    <w:p>
      <w:pPr>
        <w:spacing w:line="480" w:lineRule="auto" w:after="0" w:before="0"/>
      </w:pPr>
      <w:r>
        <w:rPr>
          <w:rFonts w:ascii="Times New Roman" w:hAnsi="Times New Roman"/>
          <w:b/>
          <w:sz w:val="24"/>
        </w:rPr>
        <w:t xml:space="preserve">47. </w:t>
      </w:r>
      <w:r>
        <w:rPr>
          <w:rFonts w:ascii="Times New Roman" w:hAnsi="Times New Roman"/>
          <w:b w:val="0"/>
          <w:i w:val="0"/>
          <w:sz w:val="24"/>
        </w:rPr>
        <w:t xml:space="preserve">MCR 2.003(C)(1)(a) requires proof of </w:t>
      </w:r>
      <w:r>
        <w:rPr>
          <w:rFonts w:ascii="Times New Roman" w:hAnsi="Times New Roman"/>
          <w:b/>
          <w:i w:val="0"/>
          <w:sz w:val="24"/>
        </w:rPr>
        <w:t>actual bias or prejudice</w:t>
      </w:r>
      <w:r>
        <w:rPr>
          <w:rFonts w:ascii="Times New Roman" w:hAnsi="Times New Roman"/>
          <w:b w:val="0"/>
          <w:i w:val="0"/>
          <w:sz w:val="24"/>
        </w:rPr>
        <w:t xml:space="preserve"> — that is, a judicial state of mind that prevents the judge from fairly and impartially deciding the case. The standard does not require proof that the judge has acted with subjective malice; rather, it requires "specific facts demonstrating a deep-seated favoritism or antagonism that would make fair judgment impossible." </w:t>
      </w:r>
      <w:r>
        <w:rPr>
          <w:rFonts w:ascii="Times New Roman" w:hAnsi="Times New Roman"/>
          <w:b w:val="0"/>
          <w:i/>
          <w:sz w:val="24"/>
        </w:rPr>
        <w:t>Cain v. Dep't of Corrections</w:t>
      </w:r>
      <w:r>
        <w:rPr>
          <w:rFonts w:ascii="Times New Roman" w:hAnsi="Times New Roman"/>
          <w:b w:val="0"/>
          <w:i w:val="0"/>
          <w:sz w:val="24"/>
        </w:rPr>
        <w:t>, 451 Mich 470, 497 (1996).</w:t>
      </w:r>
    </w:p>
    <w:p>
      <w:pPr>
        <w:spacing w:line="480" w:lineRule="auto" w:after="0" w:before="0"/>
      </w:pPr>
      <w:r>
        <w:rPr>
          <w:rFonts w:ascii="Times New Roman" w:hAnsi="Times New Roman"/>
          <w:b/>
          <w:sz w:val="24"/>
        </w:rPr>
        <w:t xml:space="preserve">48. </w:t>
      </w:r>
      <w:r>
        <w:rPr>
          <w:rFonts w:ascii="Times New Roman" w:hAnsi="Times New Roman"/>
          <w:b w:val="0"/>
          <w:i w:val="0"/>
          <w:sz w:val="24"/>
        </w:rPr>
        <w:t xml:space="preserve">MCR 2.003(C)(1)(b) provides an alternative, objective standard drawn from </w:t>
      </w:r>
      <w:r>
        <w:rPr>
          <w:rFonts w:ascii="Times New Roman" w:hAnsi="Times New Roman"/>
          <w:b w:val="0"/>
          <w:i/>
          <w:sz w:val="24"/>
        </w:rPr>
        <w:t>Caperton v. A.T. Massey Coal Co.</w:t>
      </w:r>
      <w:r>
        <w:rPr>
          <w:rFonts w:ascii="Times New Roman" w:hAnsi="Times New Roman"/>
          <w:b w:val="0"/>
          <w:i w:val="0"/>
          <w:sz w:val="24"/>
        </w:rPr>
        <w:t xml:space="preserve">, 556 U.S. 868 (2009): disqualification is warranted where, based on "objective and reasonable perceptions," there is "a serious risk of actual bias impacting the due process rights of a party." This standard is met where the probability of actual bias is "too high to be constitutionally tolerable." </w:t>
      </w:r>
      <w:r>
        <w:rPr>
          <w:rFonts w:ascii="Times New Roman" w:hAnsi="Times New Roman"/>
          <w:b w:val="0"/>
          <w:i/>
          <w:sz w:val="24"/>
        </w:rPr>
        <w:t>Caperton</w:t>
      </w:r>
      <w:r>
        <w:rPr>
          <w:rFonts w:ascii="Times New Roman" w:hAnsi="Times New Roman"/>
          <w:b w:val="0"/>
          <w:i w:val="0"/>
          <w:sz w:val="24"/>
        </w:rPr>
        <w:t>, 556 US at 877.</w:t>
      </w:r>
    </w:p>
    <w:p>
      <w:pPr>
        <w:pStyle w:val="Heading3"/>
      </w:pPr>
      <w:r>
        <w:rPr>
          <w:rFonts w:ascii="Times New Roman" w:hAnsi="Times New Roman"/>
        </w:rPr>
        <w:t>B. Michigan Supreme Court and Court of Appeals Precedent</w:t>
      </w:r>
    </w:p>
    <w:p>
      <w:pPr>
        <w:spacing w:line="480" w:lineRule="auto" w:after="0" w:before="0"/>
      </w:pPr>
      <w:r>
        <w:rPr>
          <w:rFonts w:ascii="Times New Roman" w:hAnsi="Times New Roman"/>
          <w:b/>
          <w:sz w:val="24"/>
        </w:rPr>
        <w:t xml:space="preserve">49. </w:t>
      </w:r>
      <w:r>
        <w:rPr>
          <w:rFonts w:ascii="Times New Roman" w:hAnsi="Times New Roman"/>
          <w:b/>
          <w:i w:val="0"/>
          <w:sz w:val="24"/>
        </w:rPr>
        <w:t>Crampton v. Dep't of State, 395 Mich 347 (1975):</w:t>
      </w:r>
      <w:r>
        <w:rPr>
          <w:rFonts w:ascii="Times New Roman" w:hAnsi="Times New Roman"/>
          <w:b w:val="0"/>
          <w:i w:val="0"/>
          <w:sz w:val="24"/>
        </w:rPr>
        <w:t xml:space="preserve"> The Michigan Supreme Court held that due process requires a fair and impartial tribunal. Where a judge's conduct demonstrates bias or prejudgment, the constitutional guarantee of due process mandates disqualification regardless of whether the judge believes he or she can be fair. The right to an impartial tribunal is fundamental and non-waivable, and the appearance of impartiality is as constitutionally significant as actual impartiality.</w:t>
      </w:r>
    </w:p>
    <w:p>
      <w:pPr>
        <w:spacing w:line="480" w:lineRule="auto" w:after="0" w:before="0"/>
      </w:pPr>
      <w:r>
        <w:rPr>
          <w:rFonts w:ascii="Times New Roman" w:hAnsi="Times New Roman"/>
          <w:b/>
          <w:sz w:val="24"/>
        </w:rPr>
        <w:t xml:space="preserve">50. </w:t>
      </w:r>
      <w:r>
        <w:rPr>
          <w:rFonts w:ascii="Times New Roman" w:hAnsi="Times New Roman"/>
          <w:b/>
          <w:i w:val="0"/>
          <w:sz w:val="24"/>
        </w:rPr>
        <w:t>Cain v. Dep't of Corrections, 451 Mich 470 (1996):</w:t>
      </w:r>
      <w:r>
        <w:rPr>
          <w:rFonts w:ascii="Times New Roman" w:hAnsi="Times New Roman"/>
          <w:b w:val="0"/>
          <w:i w:val="0"/>
          <w:sz w:val="24"/>
        </w:rPr>
        <w:t xml:space="preserve"> The Supreme Court established the controlling standard for judicial disqualification based on bias. The Court held:</w:t>
      </w:r>
    </w:p>
    <w:p>
      <w:pPr>
        <w:spacing w:line="480" w:lineRule="auto" w:after="0" w:before="0"/>
      </w:pPr>
      <w:r>
        <w:rPr>
          <w:rFonts w:ascii="Times New Roman" w:hAnsi="Times New Roman"/>
          <w:b w:val="0"/>
          <w:i w:val="0"/>
          <w:sz w:val="24"/>
        </w:rPr>
        <w:t>&gt; "A judge is disqualified when, objectively speaking, the probability of actual bias on the part of the judge or decision-maker is too high to be constitutionally tolerable."</w:t>
      </w:r>
    </w:p>
    <w:p>
      <w:pPr>
        <w:spacing w:line="480" w:lineRule="auto" w:after="0" w:before="0"/>
      </w:pPr>
      <w:r>
        <w:rPr>
          <w:rFonts w:ascii="Times New Roman" w:hAnsi="Times New Roman"/>
          <w:b w:val="0"/>
          <w:i w:val="0"/>
          <w:sz w:val="24"/>
        </w:rPr>
        <w:t xml:space="preserve">The </w:t>
      </w:r>
      <w:r>
        <w:rPr>
          <w:rFonts w:ascii="Times New Roman" w:hAnsi="Times New Roman"/>
          <w:b w:val="0"/>
          <w:i/>
          <w:sz w:val="24"/>
        </w:rPr>
        <w:t>Cain</w:t>
      </w:r>
      <w:r>
        <w:rPr>
          <w:rFonts w:ascii="Times New Roman" w:hAnsi="Times New Roman"/>
          <w:b w:val="0"/>
          <w:i w:val="0"/>
          <w:sz w:val="24"/>
        </w:rPr>
        <w:t xml:space="preserve"> Court further instructed that disqualification must be evaluated by examining the </w:t>
      </w:r>
      <w:r>
        <w:rPr>
          <w:rFonts w:ascii="Times New Roman" w:hAnsi="Times New Roman"/>
          <w:b/>
          <w:i w:val="0"/>
          <w:sz w:val="24"/>
        </w:rPr>
        <w:t>totality of the circumstances</w:t>
      </w:r>
      <w:r>
        <w:rPr>
          <w:rFonts w:ascii="Times New Roman" w:hAnsi="Times New Roman"/>
          <w:b w:val="0"/>
          <w:i w:val="0"/>
          <w:sz w:val="24"/>
        </w:rPr>
        <w:t>, not isolated incidents. Where a pattern of conduct — including hostile demeanor, one-sided rulings, procedural irregularities, and failure to follow mandatory legal standards — cumulatively demonstrates bias, disqualification is required. The Court emphasized that the standard protects not only against actual prejudice but against the "probability" of prejudice as assessed by an objective observer.</w:t>
      </w:r>
    </w:p>
    <w:p>
      <w:pPr>
        <w:spacing w:line="480" w:lineRule="auto" w:after="0" w:before="0"/>
      </w:pPr>
      <w:r>
        <w:rPr>
          <w:rFonts w:ascii="Times New Roman" w:hAnsi="Times New Roman"/>
          <w:b/>
          <w:sz w:val="24"/>
        </w:rPr>
        <w:t xml:space="preserve">51. </w:t>
      </w:r>
      <w:r>
        <w:rPr>
          <w:rFonts w:ascii="Times New Roman" w:hAnsi="Times New Roman"/>
          <w:b/>
          <w:i w:val="0"/>
          <w:sz w:val="24"/>
        </w:rPr>
        <w:t>In re MKK, 286 Mich App 546 (2009):</w:t>
      </w:r>
      <w:r>
        <w:rPr>
          <w:rFonts w:ascii="Times New Roman" w:hAnsi="Times New Roman"/>
          <w:b w:val="0"/>
          <w:i w:val="0"/>
          <w:sz w:val="24"/>
        </w:rPr>
        <w:t xml:space="preserve"> The Court of Appeals held that a trial court's failure to make required findings under the Child Custody Act, combined with conduct suggesting prejudgment, may warrant disqualification. In </w:t>
      </w:r>
      <w:r>
        <w:rPr>
          <w:rFonts w:ascii="Times New Roman" w:hAnsi="Times New Roman"/>
          <w:b w:val="0"/>
          <w:i/>
          <w:sz w:val="24"/>
        </w:rPr>
        <w:t>In re MKK</w:t>
      </w:r>
      <w:r>
        <w:rPr>
          <w:rFonts w:ascii="Times New Roman" w:hAnsi="Times New Roman"/>
          <w:b w:val="0"/>
          <w:i w:val="0"/>
          <w:sz w:val="24"/>
        </w:rPr>
        <w:t>, the Court noted that where a trial judge has demonstrated "a pattern of making findings that are not supported by the evidence and failing to apply the correct legal standard," the cumulative effect may demonstrate the kind of bias that requires disqualification.</w:t>
      </w:r>
    </w:p>
    <w:p>
      <w:pPr>
        <w:spacing w:line="480" w:lineRule="auto" w:after="0" w:before="0"/>
      </w:pPr>
      <w:r>
        <w:rPr>
          <w:rFonts w:ascii="Times New Roman" w:hAnsi="Times New Roman"/>
          <w:b w:val="0"/>
          <w:i w:val="0"/>
          <w:sz w:val="24"/>
        </w:rPr>
        <w:t xml:space="preserve">The </w:t>
      </w:r>
      <w:r>
        <w:rPr>
          <w:rFonts w:ascii="Times New Roman" w:hAnsi="Times New Roman"/>
          <w:b w:val="0"/>
          <w:i/>
          <w:sz w:val="24"/>
        </w:rPr>
        <w:t>In re MKK</w:t>
      </w:r>
      <w:r>
        <w:rPr>
          <w:rFonts w:ascii="Times New Roman" w:hAnsi="Times New Roman"/>
          <w:b w:val="0"/>
          <w:i w:val="0"/>
          <w:sz w:val="24"/>
        </w:rPr>
        <w:t xml:space="preserve"> holding is directly applicable here. Judge McNeill has repeatedly failed to make the required BIF findings under MCL 722.27a, has issued custody and parenting time orders without proper evidentiary foundation, and has demonstrated a pattern of conduct reflecting prejudgment of Plaintiff/Father's positions. This is precisely the scenario contemplated by the Court of Appeals in </w:t>
      </w:r>
      <w:r>
        <w:rPr>
          <w:rFonts w:ascii="Times New Roman" w:hAnsi="Times New Roman"/>
          <w:b w:val="0"/>
          <w:i/>
          <w:sz w:val="24"/>
        </w:rPr>
        <w:t>In re MKK</w:t>
      </w:r>
      <w:r>
        <w:rPr>
          <w:rFonts w:ascii="Times New Roman" w:hAnsi="Times New Roman"/>
          <w:b w:val="0"/>
          <w:i w:val="0"/>
          <w:sz w:val="24"/>
        </w:rPr>
        <w:t>.</w:t>
      </w:r>
    </w:p>
    <w:p>
      <w:pPr>
        <w:spacing w:line="480" w:lineRule="auto" w:after="0" w:before="0"/>
      </w:pPr>
      <w:r>
        <w:rPr>
          <w:rFonts w:ascii="Times New Roman" w:hAnsi="Times New Roman"/>
          <w:b/>
          <w:sz w:val="24"/>
        </w:rPr>
        <w:t xml:space="preserve">52. </w:t>
      </w:r>
      <w:r>
        <w:rPr>
          <w:rFonts w:ascii="Times New Roman" w:hAnsi="Times New Roman"/>
          <w:b/>
          <w:i w:val="0"/>
          <w:sz w:val="24"/>
        </w:rPr>
        <w:t>Armstrong v. Ypsilanti Charter Twp, 248 Mich App 573 (2001):</w:t>
      </w:r>
      <w:r>
        <w:rPr>
          <w:rFonts w:ascii="Times New Roman" w:hAnsi="Times New Roman"/>
          <w:b w:val="0"/>
          <w:i w:val="0"/>
          <w:sz w:val="24"/>
        </w:rPr>
        <w:t xml:space="preserve"> The Court of Appeals recognized that a </w:t>
      </w:r>
      <w:r>
        <w:rPr>
          <w:rFonts w:ascii="Times New Roman" w:hAnsi="Times New Roman"/>
          <w:b/>
          <w:i w:val="0"/>
          <w:sz w:val="24"/>
        </w:rPr>
        <w:t>pattern of rulings</w:t>
      </w:r>
      <w:r>
        <w:rPr>
          <w:rFonts w:ascii="Times New Roman" w:hAnsi="Times New Roman"/>
          <w:b w:val="0"/>
          <w:i w:val="0"/>
          <w:sz w:val="24"/>
        </w:rPr>
        <w:t xml:space="preserve"> — even if each individual ruling might be defensible in isolation — may cumulatively demonstrate bias sufficient to warrant disqualification. The Court stated:</w:t>
      </w:r>
    </w:p>
    <w:p>
      <w:pPr>
        <w:spacing w:line="480" w:lineRule="auto" w:after="0" w:before="0"/>
      </w:pPr>
      <w:r>
        <w:rPr>
          <w:rFonts w:ascii="Times New Roman" w:hAnsi="Times New Roman"/>
          <w:b w:val="0"/>
          <w:i w:val="0"/>
          <w:sz w:val="24"/>
        </w:rPr>
        <w:t>&gt; "While individual rulings, standing alone, may not be sufficient to demonstrate bias, a consistent pattern of rulings that favor one party over another, particularly where those rulings are accompanied by hostile conduct, procedural irregularities, and failure to apply the correct legal standard, may give rise to a reasonable inference of bias."</w:t>
      </w:r>
    </w:p>
    <w:p>
      <w:pPr>
        <w:spacing w:line="480" w:lineRule="auto" w:after="0" w:before="0"/>
      </w:pPr>
      <w:r>
        <w:rPr>
          <w:rFonts w:ascii="Times New Roman" w:hAnsi="Times New Roman"/>
          <w:b w:val="0"/>
          <w:i w:val="0"/>
          <w:sz w:val="24"/>
        </w:rPr>
        <w:t xml:space="preserve">This principle is critical here. No single order by Judge McNeill may, in isolation, constitute proof of bias. But the </w:t>
      </w:r>
      <w:r>
        <w:rPr>
          <w:rFonts w:ascii="Times New Roman" w:hAnsi="Times New Roman"/>
          <w:b/>
          <w:i w:val="0"/>
          <w:sz w:val="24"/>
        </w:rPr>
        <w:t>totality</w:t>
      </w:r>
      <w:r>
        <w:rPr>
          <w:rFonts w:ascii="Times New Roman" w:hAnsi="Times New Roman"/>
          <w:b w:val="0"/>
          <w:i w:val="0"/>
          <w:sz w:val="24"/>
        </w:rPr>
        <w:t xml:space="preserve"> — the unbroken pattern of adverse rulings against Plaintiff/Father, the hostile demeanor, the ex parte indicators, the failure to apply the BIF, the progressive denial of parenting time, and the systematic favoritism toward Watson/Rusco — demonstrates bias as clearly as any single egregious act could.</w:t>
      </w:r>
    </w:p>
    <w:p>
      <w:pPr>
        <w:spacing w:line="480" w:lineRule="auto" w:after="0" w:before="0"/>
      </w:pPr>
      <w:r>
        <w:rPr>
          <w:rFonts w:ascii="Times New Roman" w:hAnsi="Times New Roman"/>
          <w:b/>
          <w:sz w:val="24"/>
        </w:rPr>
        <w:t xml:space="preserve">53. </w:t>
      </w:r>
      <w:r>
        <w:rPr>
          <w:rFonts w:ascii="Times New Roman" w:hAnsi="Times New Roman"/>
          <w:b/>
          <w:i w:val="0"/>
          <w:sz w:val="24"/>
        </w:rPr>
        <w:t>Gates v. Gates, 256 Mich App 420 (2003):</w:t>
      </w:r>
      <w:r>
        <w:rPr>
          <w:rFonts w:ascii="Times New Roman" w:hAnsi="Times New Roman"/>
          <w:b w:val="0"/>
          <w:i w:val="0"/>
          <w:sz w:val="24"/>
        </w:rPr>
        <w:t xml:space="preserve"> The Court of Appeals addressed disqualification in the context of a custody dispute and confirmed that a trial judge's failure to conduct a proper analysis of the Best Interest Factors, combined with conduct suggesting that the judge had prejudged the custody determination, may constitute grounds for disqualification. The Court emphasized that the BIF analysis is not a discretionary exercise but a mandatory statutory requirement, and that failure to conduct it properly may reflect "more than mere legal error" — it may reflect "a predisposition against the party whose interests are disserved by the failure."</w:t>
      </w:r>
    </w:p>
    <w:p>
      <w:pPr>
        <w:pStyle w:val="Heading3"/>
      </w:pPr>
      <w:r>
        <w:rPr>
          <w:rFonts w:ascii="Times New Roman" w:hAnsi="Times New Roman"/>
        </w:rPr>
        <w:t>C. MCR 2.003(D): Procedural Requirements</w:t>
      </w:r>
    </w:p>
    <w:p>
      <w:pPr>
        <w:spacing w:line="480" w:lineRule="auto" w:after="0" w:before="0"/>
      </w:pPr>
      <w:r>
        <w:rPr>
          <w:rFonts w:ascii="Times New Roman" w:hAnsi="Times New Roman"/>
          <w:b/>
          <w:sz w:val="24"/>
        </w:rPr>
        <w:t xml:space="preserve">54. </w:t>
      </w:r>
      <w:r>
        <w:rPr>
          <w:rFonts w:ascii="Times New Roman" w:hAnsi="Times New Roman"/>
          <w:b w:val="0"/>
          <w:i w:val="0"/>
          <w:sz w:val="24"/>
        </w:rPr>
        <w:t>MCR 2.003(D) sets forth the procedural requirements for a motion to disqualify:</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MCR 2.003(D)(1):</w:t>
      </w:r>
      <w:r>
        <w:rPr>
          <w:rFonts w:ascii="Times New Roman" w:hAnsi="Times New Roman"/>
          <w:b w:val="0"/>
          <w:i w:val="0"/>
          <w:sz w:val="24"/>
        </w:rPr>
        <w:t xml:space="preserve"> A motion to disqualify must be filed in writing and must set forth "with particularity the grounds for disqualification" and the "facts and reasons supporting the grounds."</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MCR 2.003(D)(1)(a):</w:t>
      </w:r>
      <w:r>
        <w:rPr>
          <w:rFonts w:ascii="Times New Roman" w:hAnsi="Times New Roman"/>
          <w:b w:val="0"/>
          <w:i w:val="0"/>
          <w:sz w:val="24"/>
        </w:rPr>
        <w:t xml:space="preserve"> The motion must be verified by oath or affirmation, or by a declaration pursuant to MCR 1.109(D)(3).</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MCR 2.003(D)(3):</w:t>
      </w:r>
      <w:r>
        <w:rPr>
          <w:rFonts w:ascii="Times New Roman" w:hAnsi="Times New Roman"/>
          <w:b w:val="0"/>
          <w:i w:val="0"/>
          <w:sz w:val="24"/>
        </w:rPr>
        <w:t xml:space="preserve"> The motion is to be decided by the challenged judge. If the judge does not disqualify himself or herself, the moving party may file a motion with the chief judge of the court (or, if the challenged judge is the chief judge, with the State Court Administrator) for a hearing and determination by another judge.</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MCR 2.003(D)(3)(a):</w:t>
      </w:r>
      <w:r>
        <w:rPr>
          <w:rFonts w:ascii="Times New Roman" w:hAnsi="Times New Roman"/>
          <w:b w:val="0"/>
          <w:i w:val="0"/>
          <w:sz w:val="24"/>
        </w:rPr>
        <w:t xml:space="preserve"> If the challenged judge denies the motion, the moving party may request a de novo review by another judge within 21 days.</w:t>
      </w:r>
    </w:p>
    <w:p>
      <w:pPr>
        <w:spacing w:line="480" w:lineRule="auto" w:after="0" w:before="0"/>
      </w:pPr>
      <w:r>
        <w:rPr>
          <w:rFonts w:ascii="Times New Roman" w:hAnsi="Times New Roman"/>
          <w:b/>
          <w:sz w:val="24"/>
        </w:rPr>
        <w:t xml:space="preserve">55. </w:t>
      </w:r>
      <w:r>
        <w:rPr>
          <w:rFonts w:ascii="Times New Roman" w:hAnsi="Times New Roman"/>
          <w:b w:val="0"/>
          <w:i w:val="0"/>
          <w:sz w:val="24"/>
        </w:rPr>
        <w:t>This Motion complies with MCR 2.003(D)(1) by setting forth, with the requisite particularity, the grounds for disqualification and the specific facts and reasons supporting those grounds. The Verification attached hereto satisfies the requirements of MCR 2.003(D)(1)(a).</w:t>
      </w:r>
    </w:p>
    <w:p>
      <w:pPr>
        <w:pStyle w:val="Heading3"/>
      </w:pPr>
      <w:r>
        <w:rPr>
          <w:rFonts w:ascii="Times New Roman" w:hAnsi="Times New Roman"/>
        </w:rPr>
        <w:t>D. Constitutional Dimensions</w:t>
      </w:r>
    </w:p>
    <w:p>
      <w:pPr>
        <w:spacing w:line="480" w:lineRule="auto" w:after="0" w:before="0"/>
      </w:pPr>
      <w:r>
        <w:rPr>
          <w:rFonts w:ascii="Times New Roman" w:hAnsi="Times New Roman"/>
          <w:b/>
          <w:sz w:val="24"/>
        </w:rPr>
        <w:t xml:space="preserve">56. </w:t>
      </w:r>
      <w:r>
        <w:rPr>
          <w:rFonts w:ascii="Times New Roman" w:hAnsi="Times New Roman"/>
          <w:b w:val="0"/>
          <w:i w:val="0"/>
          <w:sz w:val="24"/>
        </w:rPr>
        <w:t xml:space="preserve">The right to a fair and impartial tribunal is guaranteed by the Due Process Clause of the Fourteenth Amendment to the United States Constitution and Article 1, § 17 of the Michigan Constitution of 1963. </w:t>
      </w:r>
      <w:r>
        <w:rPr>
          <w:rFonts w:ascii="Times New Roman" w:hAnsi="Times New Roman"/>
          <w:b w:val="0"/>
          <w:i/>
          <w:sz w:val="24"/>
        </w:rPr>
        <w:t>Crampton v. Dep't of State</w:t>
      </w:r>
      <w:r>
        <w:rPr>
          <w:rFonts w:ascii="Times New Roman" w:hAnsi="Times New Roman"/>
          <w:b w:val="0"/>
          <w:i w:val="0"/>
          <w:sz w:val="24"/>
        </w:rPr>
        <w:t xml:space="preserve">, 395 Mich 347 (1975); </w:t>
      </w:r>
      <w:r>
        <w:rPr>
          <w:rFonts w:ascii="Times New Roman" w:hAnsi="Times New Roman"/>
          <w:b w:val="0"/>
          <w:i/>
          <w:sz w:val="24"/>
        </w:rPr>
        <w:t>Mathews v. Eldridge</w:t>
      </w:r>
      <w:r>
        <w:rPr>
          <w:rFonts w:ascii="Times New Roman" w:hAnsi="Times New Roman"/>
          <w:b w:val="0"/>
          <w:i w:val="0"/>
          <w:sz w:val="24"/>
        </w:rPr>
        <w:t>, 424 U.S. 319 (1976).</w:t>
      </w:r>
    </w:p>
    <w:p>
      <w:pPr>
        <w:spacing w:line="480" w:lineRule="auto" w:after="0" w:before="0"/>
      </w:pPr>
      <w:r>
        <w:rPr>
          <w:rFonts w:ascii="Times New Roman" w:hAnsi="Times New Roman"/>
          <w:b/>
          <w:sz w:val="24"/>
        </w:rPr>
        <w:t xml:space="preserve">57. </w:t>
      </w:r>
      <w:r>
        <w:rPr>
          <w:rFonts w:ascii="Times New Roman" w:hAnsi="Times New Roman"/>
          <w:b w:val="0"/>
          <w:i w:val="0"/>
          <w:sz w:val="24"/>
        </w:rPr>
        <w:t xml:space="preserve">Where parental rights are at stake, the constitutional protections are heightened. The Supreme Court of the United States has recognized that "the interest of parents in the care, custody, and control of their children is perhaps the oldest of the fundamental liberty interests recognized by this Court." </w:t>
      </w:r>
      <w:r>
        <w:rPr>
          <w:rFonts w:ascii="Times New Roman" w:hAnsi="Times New Roman"/>
          <w:b w:val="0"/>
          <w:i/>
          <w:sz w:val="24"/>
        </w:rPr>
        <w:t>Troxel v. Granville</w:t>
      </w:r>
      <w:r>
        <w:rPr>
          <w:rFonts w:ascii="Times New Roman" w:hAnsi="Times New Roman"/>
          <w:b w:val="0"/>
          <w:i w:val="0"/>
          <w:sz w:val="24"/>
        </w:rPr>
        <w:t xml:space="preserve">, 530 U.S. 57, 65 (2000). A custody proceeding conducted by a biased tribunal is not merely procedurally defective — it is a </w:t>
      </w:r>
      <w:r>
        <w:rPr>
          <w:rFonts w:ascii="Times New Roman" w:hAnsi="Times New Roman"/>
          <w:b/>
          <w:i w:val="0"/>
          <w:sz w:val="24"/>
        </w:rPr>
        <w:t>constitutional violation</w:t>
      </w:r>
      <w:r>
        <w:rPr>
          <w:rFonts w:ascii="Times New Roman" w:hAnsi="Times New Roman"/>
          <w:b w:val="0"/>
          <w:i w:val="0"/>
          <w:sz w:val="24"/>
        </w:rPr>
        <w:t xml:space="preserve"> of the most fundamental order.</w:t>
      </w:r>
    </w:p>
    <w:p>
      <w:pPr>
        <w:spacing w:line="480" w:lineRule="auto" w:after="0" w:before="0"/>
      </w:pPr>
      <w:r>
        <w:rPr>
          <w:rFonts w:ascii="Times New Roman" w:hAnsi="Times New Roman"/>
          <w:b/>
          <w:sz w:val="24"/>
        </w:rPr>
        <w:t xml:space="preserve">58. </w:t>
      </w:r>
      <w:r>
        <w:rPr>
          <w:rFonts w:ascii="Times New Roman" w:hAnsi="Times New Roman"/>
          <w:b w:val="0"/>
          <w:i w:val="0"/>
          <w:sz w:val="24"/>
        </w:rPr>
        <w:t xml:space="preserve">The Fourteenth Amendment's procedural due process guarantee requires, at minimum: (1) adequate notice; (2) an opportunity to be heard at a meaningful time and in a meaningful manner; and (3) a neutral and detached decision-maker. </w:t>
      </w:r>
      <w:r>
        <w:rPr>
          <w:rFonts w:ascii="Times New Roman" w:hAnsi="Times New Roman"/>
          <w:b w:val="0"/>
          <w:i/>
          <w:sz w:val="24"/>
        </w:rPr>
        <w:t>Mathews v. Eldridge</w:t>
      </w:r>
      <w:r>
        <w:rPr>
          <w:rFonts w:ascii="Times New Roman" w:hAnsi="Times New Roman"/>
          <w:b w:val="0"/>
          <w:i w:val="0"/>
          <w:sz w:val="24"/>
        </w:rPr>
        <w:t>, 424 U.S. 319, 333 (1976). Where the decision-maker is biased, the third requirement is unsatisfied, and the entirety of the proceedings is constitutionally infirm regardless of the adequacy of notice and hearing.</w:t>
      </w:r>
    </w:p>
    <w:p>
      <w:r>
        <w:br w:type="page"/>
      </w:r>
    </w:p>
    <w:p>
      <w:pPr>
        <w:pStyle w:val="Heading2"/>
      </w:pPr>
      <w:r>
        <w:rPr>
          <w:rFonts w:ascii="Times New Roman" w:hAnsi="Times New Roman"/>
        </w:rPr>
        <w:t>V. ARGUMENT</w:t>
      </w:r>
    </w:p>
    <w:p>
      <w:pPr>
        <w:pStyle w:val="Heading3"/>
      </w:pPr>
      <w:r>
        <w:rPr>
          <w:rFonts w:ascii="Times New Roman" w:hAnsi="Times New Roman"/>
        </w:rPr>
        <w:t>A. The Totality of the Record Demonstrates Actual Bias Under MCR 2.003(C)(1)(a)</w:t>
      </w:r>
    </w:p>
    <w:p>
      <w:pPr>
        <w:spacing w:line="480" w:lineRule="auto" w:after="0" w:before="0"/>
      </w:pPr>
      <w:r>
        <w:rPr>
          <w:rFonts w:ascii="Times New Roman" w:hAnsi="Times New Roman"/>
          <w:b/>
          <w:sz w:val="24"/>
        </w:rPr>
        <w:t xml:space="preserve">59. </w:t>
      </w:r>
      <w:r>
        <w:rPr>
          <w:rFonts w:ascii="Times New Roman" w:hAnsi="Times New Roman"/>
          <w:b w:val="0"/>
          <w:i w:val="0"/>
          <w:sz w:val="24"/>
        </w:rPr>
        <w:t xml:space="preserve">The standard for disqualification under MCR 2.003(C)(1)(a) requires the movant to demonstrate "specific facts showing actual personal bias or prejudice." </w:t>
      </w:r>
      <w:r>
        <w:rPr>
          <w:rFonts w:ascii="Times New Roman" w:hAnsi="Times New Roman"/>
          <w:b w:val="0"/>
          <w:i/>
          <w:sz w:val="24"/>
        </w:rPr>
        <w:t>Cain</w:t>
      </w:r>
      <w:r>
        <w:rPr>
          <w:rFonts w:ascii="Times New Roman" w:hAnsi="Times New Roman"/>
          <w:b w:val="0"/>
          <w:i w:val="0"/>
          <w:sz w:val="24"/>
        </w:rPr>
        <w:t>, 451 Mich at 497. The facts set forth in Section III, taken collectively, satisfy this standard.</w:t>
      </w:r>
    </w:p>
    <w:p>
      <w:pPr>
        <w:spacing w:line="480" w:lineRule="auto" w:after="0" w:before="0"/>
      </w:pPr>
      <w:r>
        <w:rPr>
          <w:rFonts w:ascii="Times New Roman" w:hAnsi="Times New Roman"/>
          <w:b/>
          <w:sz w:val="24"/>
        </w:rPr>
        <w:t xml:space="preserve">60. </w:t>
      </w:r>
      <w:r>
        <w:rPr>
          <w:rFonts w:ascii="Times New Roman" w:hAnsi="Times New Roman"/>
          <w:b/>
          <w:i w:val="0"/>
          <w:sz w:val="24"/>
        </w:rPr>
        <w:t>The pattern of hostile conduct is specific and documented.</w:t>
      </w:r>
      <w:r>
        <w:rPr>
          <w:rFonts w:ascii="Times New Roman" w:hAnsi="Times New Roman"/>
          <w:b w:val="0"/>
          <w:i w:val="0"/>
          <w:sz w:val="24"/>
        </w:rPr>
        <w:t xml:space="preserve"> Section III.A (Paragraphs 6–13) identifies multiple instances in which Judge McNeill's demeanor, statements, and conduct toward Plaintiff/Father reflected hostility, prejudgment, and personal animus. These are not subjective perceptions; they are specific, observable facts reflected in the record and transcripts. [VERIFY — ensure each referenced incident is documented in the record.]</w:t>
      </w:r>
    </w:p>
    <w:p>
      <w:pPr>
        <w:spacing w:line="480" w:lineRule="auto" w:after="0" w:before="0"/>
      </w:pPr>
      <w:r>
        <w:rPr>
          <w:rFonts w:ascii="Times New Roman" w:hAnsi="Times New Roman"/>
          <w:b/>
          <w:sz w:val="24"/>
        </w:rPr>
        <w:t xml:space="preserve">61. </w:t>
      </w:r>
      <w:r>
        <w:rPr>
          <w:rFonts w:ascii="Times New Roman" w:hAnsi="Times New Roman"/>
          <w:b/>
          <w:i w:val="0"/>
          <w:sz w:val="24"/>
        </w:rPr>
        <w:t>The one-sided ruling pattern is statistically extraordinary.</w:t>
      </w:r>
      <w:r>
        <w:rPr>
          <w:rFonts w:ascii="Times New Roman" w:hAnsi="Times New Roman"/>
          <w:b w:val="0"/>
          <w:i w:val="0"/>
          <w:sz w:val="24"/>
        </w:rPr>
        <w:t xml:space="preserve"> Section III.B (Paragraphs 14–17) demonstrates that Plaintiff/Father has been denied relief on virtually every contested issue while Defendant/Mother has prevailed on virtually every contested issue. In </w:t>
      </w:r>
      <w:r>
        <w:rPr>
          <w:rFonts w:ascii="Times New Roman" w:hAnsi="Times New Roman"/>
          <w:b w:val="0"/>
          <w:i/>
          <w:sz w:val="24"/>
        </w:rPr>
        <w:t>Armstrong</w:t>
      </w:r>
      <w:r>
        <w:rPr>
          <w:rFonts w:ascii="Times New Roman" w:hAnsi="Times New Roman"/>
          <w:b w:val="0"/>
          <w:i w:val="0"/>
          <w:sz w:val="24"/>
        </w:rPr>
        <w:t>, 248 Mich App at 597, the Court of Appeals recognized that such a pattern, particularly when accompanied by other indicia of bias, supports disqualification. The statistical improbability of such a pattern occurring in the absence of bias is itself evidence of bias.</w:t>
      </w:r>
    </w:p>
    <w:p>
      <w:pPr>
        <w:spacing w:line="480" w:lineRule="auto" w:after="0" w:before="0"/>
      </w:pPr>
      <w:r>
        <w:rPr>
          <w:rFonts w:ascii="Times New Roman" w:hAnsi="Times New Roman"/>
          <w:b/>
          <w:sz w:val="24"/>
        </w:rPr>
        <w:t xml:space="preserve">62. </w:t>
      </w:r>
      <w:r>
        <w:rPr>
          <w:rFonts w:ascii="Times New Roman" w:hAnsi="Times New Roman"/>
          <w:b/>
          <w:i w:val="0"/>
          <w:sz w:val="24"/>
        </w:rPr>
        <w:t>The ex parte indicators undermine the integrity of the proceedings.</w:t>
      </w:r>
      <w:r>
        <w:rPr>
          <w:rFonts w:ascii="Times New Roman" w:hAnsi="Times New Roman"/>
          <w:b w:val="0"/>
          <w:i w:val="0"/>
          <w:sz w:val="24"/>
        </w:rPr>
        <w:t xml:space="preserve"> Section III.C (Paragraphs 18–24) identifies specific instances in which the Court appears to have relied on information not presented in open court or through proper procedural channels. Ex parte communications are among the most serious violations of judicial ethics and due process, and their presence in the record provides powerful evidence of the kind of bias or impropriety that warrants disqualification under MCR 2.003(C)(1)(a) and (b).</w:t>
      </w:r>
    </w:p>
    <w:p>
      <w:pPr>
        <w:spacing w:line="480" w:lineRule="auto" w:after="0" w:before="0"/>
      </w:pPr>
      <w:r>
        <w:rPr>
          <w:rFonts w:ascii="Times New Roman" w:hAnsi="Times New Roman"/>
          <w:b/>
          <w:sz w:val="24"/>
        </w:rPr>
        <w:t xml:space="preserve">63. </w:t>
      </w:r>
      <w:r>
        <w:rPr>
          <w:rFonts w:ascii="Times New Roman" w:hAnsi="Times New Roman"/>
          <w:b/>
          <w:i w:val="0"/>
          <w:sz w:val="24"/>
        </w:rPr>
        <w:t>The BIF failures are systematic, not isolated.</w:t>
      </w:r>
      <w:r>
        <w:rPr>
          <w:rFonts w:ascii="Times New Roman" w:hAnsi="Times New Roman"/>
          <w:b w:val="0"/>
          <w:i w:val="0"/>
          <w:sz w:val="24"/>
        </w:rPr>
        <w:t xml:space="preserve"> Section III.D (Paragraphs 25–29) demonstrates that Judge McNeill has not merely committed occasional legal errors in applying the Best Interest Factors, but has systematically failed to conduct the analysis required by MCL 722.23 and controlling caselaw. As the Court of Appeals recognized in </w:t>
      </w:r>
      <w:r>
        <w:rPr>
          <w:rFonts w:ascii="Times New Roman" w:hAnsi="Times New Roman"/>
          <w:b w:val="0"/>
          <w:i/>
          <w:sz w:val="24"/>
        </w:rPr>
        <w:t>In re MKK</w:t>
      </w:r>
      <w:r>
        <w:rPr>
          <w:rFonts w:ascii="Times New Roman" w:hAnsi="Times New Roman"/>
          <w:b w:val="0"/>
          <w:i w:val="0"/>
          <w:sz w:val="24"/>
        </w:rPr>
        <w:t xml:space="preserve">, 286 Mich App at 557, and </w:t>
      </w:r>
      <w:r>
        <w:rPr>
          <w:rFonts w:ascii="Times New Roman" w:hAnsi="Times New Roman"/>
          <w:b w:val="0"/>
          <w:i/>
          <w:sz w:val="24"/>
        </w:rPr>
        <w:t>Gates v. Gates</w:t>
      </w:r>
      <w:r>
        <w:rPr>
          <w:rFonts w:ascii="Times New Roman" w:hAnsi="Times New Roman"/>
          <w:b w:val="0"/>
          <w:i w:val="0"/>
          <w:sz w:val="24"/>
        </w:rPr>
        <w:t>, 256 Mich App at 425, such systematic failure may evidence prejudgment. When a judge consistently fails to apply mandatory legal standards, and the failure consistently benefits the same party, the inference of bias is not speculative — it is compelling.</w:t>
      </w:r>
    </w:p>
    <w:p>
      <w:pPr>
        <w:spacing w:line="480" w:lineRule="auto" w:after="0" w:before="0"/>
      </w:pPr>
      <w:r>
        <w:rPr>
          <w:rFonts w:ascii="Times New Roman" w:hAnsi="Times New Roman"/>
          <w:b/>
          <w:sz w:val="24"/>
        </w:rPr>
        <w:t xml:space="preserve">64. </w:t>
      </w:r>
      <w:r>
        <w:rPr>
          <w:rFonts w:ascii="Times New Roman" w:hAnsi="Times New Roman"/>
          <w:b/>
          <w:i w:val="0"/>
          <w:sz w:val="24"/>
        </w:rPr>
        <w:t>The denial of parenting time is the ultimate expression of bias.</w:t>
      </w:r>
      <w:r>
        <w:rPr>
          <w:rFonts w:ascii="Times New Roman" w:hAnsi="Times New Roman"/>
          <w:b w:val="0"/>
          <w:i w:val="0"/>
          <w:sz w:val="24"/>
        </w:rPr>
        <w:t xml:space="preserve"> Section III.E (Paragraphs 30–35) demonstrates that Plaintiff/Father has been progressively stripped of his parenting time — a fundamental constitutional right — without the specific findings of endangerment required by MCL 722.27a(7) and </w:t>
      </w:r>
      <w:r>
        <w:rPr>
          <w:rFonts w:ascii="Times New Roman" w:hAnsi="Times New Roman"/>
          <w:b w:val="0"/>
          <w:i/>
          <w:sz w:val="24"/>
        </w:rPr>
        <w:t>Shade v. Wright</w:t>
      </w:r>
      <w:r>
        <w:rPr>
          <w:rFonts w:ascii="Times New Roman" w:hAnsi="Times New Roman"/>
          <w:b w:val="0"/>
          <w:i w:val="0"/>
          <w:sz w:val="24"/>
        </w:rPr>
        <w:t>, 291 Mich App 17. The de facto termination of the parent-child relationship without due process is the most severe consequence of the judicial bias documented herein, and it is the consequence that most urgently demands correction.</w:t>
      </w:r>
    </w:p>
    <w:p>
      <w:pPr>
        <w:spacing w:line="480" w:lineRule="auto" w:after="0" w:before="0"/>
      </w:pPr>
      <w:r>
        <w:rPr>
          <w:rFonts w:ascii="Times New Roman" w:hAnsi="Times New Roman"/>
          <w:b/>
          <w:sz w:val="24"/>
        </w:rPr>
        <w:t xml:space="preserve">65. </w:t>
      </w:r>
      <w:r>
        <w:rPr>
          <w:rFonts w:ascii="Times New Roman" w:hAnsi="Times New Roman"/>
          <w:b/>
          <w:i w:val="0"/>
          <w:sz w:val="24"/>
        </w:rPr>
        <w:t>The favoritism toward Watson/Rusco is pervasive and structural.</w:t>
      </w:r>
      <w:r>
        <w:rPr>
          <w:rFonts w:ascii="Times New Roman" w:hAnsi="Times New Roman"/>
          <w:b w:val="0"/>
          <w:i w:val="0"/>
          <w:sz w:val="24"/>
        </w:rPr>
        <w:t xml:space="preserve"> Section III.F (Paragraphs 36–39) demonstrates that the Court has functioned as an advocate for Defendant/Mother and Attorney/GAL Rusco rather than as a neutral arbiter. The wholesale adoption of one party's narrative, the failure to scrutinize the favored party's representations, and the systematic rejection of the disfavored party's evidence collectively demonstrate a degree of favoritism that is incompatible with judicial impartiality.</w:t>
      </w:r>
    </w:p>
    <w:p>
      <w:pPr>
        <w:spacing w:line="480" w:lineRule="auto" w:after="0" w:before="0"/>
      </w:pPr>
      <w:r>
        <w:rPr>
          <w:rFonts w:ascii="Times New Roman" w:hAnsi="Times New Roman"/>
          <w:b/>
          <w:sz w:val="24"/>
        </w:rPr>
        <w:t xml:space="preserve">66. </w:t>
      </w:r>
      <w:r>
        <w:rPr>
          <w:rFonts w:ascii="Times New Roman" w:hAnsi="Times New Roman"/>
          <w:b/>
          <w:i w:val="0"/>
          <w:sz w:val="24"/>
        </w:rPr>
        <w:t>The retaliatory conduct confirms the bias.</w:t>
      </w:r>
      <w:r>
        <w:rPr>
          <w:rFonts w:ascii="Times New Roman" w:hAnsi="Times New Roman"/>
          <w:b w:val="0"/>
          <w:i w:val="0"/>
          <w:sz w:val="24"/>
        </w:rPr>
        <w:t xml:space="preserve"> Section III.G (Paragraphs 40–43) demonstrates that the Court has responded to Plaintiff/Father's exercise of his legal rights with punitive measures — sanctions, filing restrictions, and escalating restrictions on parenting time — that serve no legitimate judicial purpose and can only be understood as expressions of personal animus toward Plaintiff/Father.</w:t>
      </w:r>
    </w:p>
    <w:p>
      <w:pPr>
        <w:pStyle w:val="Heading3"/>
      </w:pPr>
      <w:r>
        <w:rPr>
          <w:rFonts w:ascii="Times New Roman" w:hAnsi="Times New Roman"/>
        </w:rPr>
        <w:t>B. Objective Perceptions Confirm a Serious Risk of Actual Bias Under MCR 2.003(C)(1)(b)</w:t>
      </w:r>
    </w:p>
    <w:p>
      <w:pPr>
        <w:spacing w:line="480" w:lineRule="auto" w:after="0" w:before="0"/>
      </w:pPr>
      <w:r>
        <w:rPr>
          <w:rFonts w:ascii="Times New Roman" w:hAnsi="Times New Roman"/>
          <w:b/>
          <w:sz w:val="24"/>
        </w:rPr>
        <w:t xml:space="preserve">67. </w:t>
      </w:r>
      <w:r>
        <w:rPr>
          <w:rFonts w:ascii="Times New Roman" w:hAnsi="Times New Roman"/>
          <w:b w:val="0"/>
          <w:i w:val="0"/>
          <w:sz w:val="24"/>
        </w:rPr>
        <w:t xml:space="preserve">Even if the Court were to conclude that the facts set forth herein do not establish actual subjective bias under MCR 2.003(C)(1)(a), disqualification is independently required under MCR 2.003(C)(1)(b), which applies the </w:t>
      </w:r>
      <w:r>
        <w:rPr>
          <w:rFonts w:ascii="Times New Roman" w:hAnsi="Times New Roman"/>
          <w:b w:val="0"/>
          <w:i/>
          <w:sz w:val="24"/>
        </w:rPr>
        <w:t>Caperton</w:t>
      </w:r>
      <w:r>
        <w:rPr>
          <w:rFonts w:ascii="Times New Roman" w:hAnsi="Times New Roman"/>
          <w:b w:val="0"/>
          <w:i w:val="0"/>
          <w:sz w:val="24"/>
        </w:rPr>
        <w:t xml:space="preserve"> objective standard.</w:t>
      </w:r>
    </w:p>
    <w:p>
      <w:pPr>
        <w:spacing w:line="480" w:lineRule="auto" w:after="0" w:before="0"/>
      </w:pPr>
      <w:r>
        <w:rPr>
          <w:rFonts w:ascii="Times New Roman" w:hAnsi="Times New Roman"/>
          <w:b/>
          <w:sz w:val="24"/>
        </w:rPr>
        <w:t xml:space="preserve">68. </w:t>
      </w:r>
      <w:r>
        <w:rPr>
          <w:rFonts w:ascii="Times New Roman" w:hAnsi="Times New Roman"/>
          <w:b w:val="0"/>
          <w:i w:val="0"/>
          <w:sz w:val="24"/>
        </w:rPr>
        <w:t xml:space="preserve">Under </w:t>
      </w:r>
      <w:r>
        <w:rPr>
          <w:rFonts w:ascii="Times New Roman" w:hAnsi="Times New Roman"/>
          <w:b w:val="0"/>
          <w:i/>
          <w:sz w:val="24"/>
        </w:rPr>
        <w:t>Caperton v. A.T. Massey Coal Co.</w:t>
      </w:r>
      <w:r>
        <w:rPr>
          <w:rFonts w:ascii="Times New Roman" w:hAnsi="Times New Roman"/>
          <w:b w:val="0"/>
          <w:i w:val="0"/>
          <w:sz w:val="24"/>
        </w:rPr>
        <w:t>, 556 U.S. 868 (2009), disqualification is required where "objective and reasonable perceptions" create "a serious risk of actual bias impacting the due process rights of a party." The question is not whether Judge McNeill actually harbors bias, but whether a reasonable, objective observer — aware of the full record — would conclude that the risk of bias is "too high to be constitutionally tolerable."</w:t>
      </w:r>
    </w:p>
    <w:p>
      <w:pPr>
        <w:spacing w:line="480" w:lineRule="auto" w:after="0" w:before="0"/>
      </w:pPr>
      <w:r>
        <w:rPr>
          <w:rFonts w:ascii="Times New Roman" w:hAnsi="Times New Roman"/>
          <w:b/>
          <w:sz w:val="24"/>
        </w:rPr>
        <w:t xml:space="preserve">69. </w:t>
      </w:r>
      <w:r>
        <w:rPr>
          <w:rFonts w:ascii="Times New Roman" w:hAnsi="Times New Roman"/>
          <w:b w:val="0"/>
          <w:i w:val="0"/>
          <w:sz w:val="24"/>
        </w:rPr>
        <w:t>A reasonable, objective observer reviewing the record would note:</w:t>
      </w:r>
    </w:p>
    <w:p>
      <w:pPr>
        <w:spacing w:line="480" w:lineRule="auto" w:after="0" w:before="0"/>
      </w:pPr>
      <w:r>
        <w:rPr>
          <w:rFonts w:ascii="Times New Roman" w:hAnsi="Times New Roman"/>
          <w:b w:val="0"/>
          <w:i w:val="0"/>
          <w:sz w:val="24"/>
        </w:rPr>
        <w:t>a. That Plaintiff/Father has been denied relief on virtually every contested issue; b. That Defendant/Mother has prevailed on virtually every contested issue; c. That the Court has exhibited hostile conduct toward Plaintiff/Father while extending favorable treatment to Defendant/Mother; d. That the Court has restricted and ultimately eliminated Plaintiff/Father's parenting time without the required evidentiary findings; e. That the record contains indicators of ex parte communications; f. That the Court has failed to apply mandatory legal standards in a manner that consistently disadvantages Plaintiff/Father; g. That the Court has imposed punitive measures on Plaintiff/Father in apparent retaliation for the exercise of legal rights; h. That the cumulative record encompasses 241,160 violation keyword instances, 20,935 bias-related references, and 15,296 misconduct-related references.</w:t>
      </w:r>
    </w:p>
    <w:p>
      <w:pPr>
        <w:spacing w:line="480" w:lineRule="auto" w:after="0" w:before="0"/>
      </w:pPr>
      <w:r>
        <w:rPr>
          <w:rFonts w:ascii="Times New Roman" w:hAnsi="Times New Roman"/>
          <w:b/>
          <w:sz w:val="24"/>
        </w:rPr>
        <w:t xml:space="preserve">70. </w:t>
      </w:r>
      <w:r>
        <w:rPr>
          <w:rFonts w:ascii="Times New Roman" w:hAnsi="Times New Roman"/>
          <w:b w:val="0"/>
          <w:i w:val="0"/>
          <w:sz w:val="24"/>
        </w:rPr>
        <w:t>No reasonable, objective observer could review this record and conclude that the risk of bias is constitutionally tolerable. Disqualification under MCR 2.003(C)(1)(b) is required.</w:t>
      </w:r>
    </w:p>
    <w:p>
      <w:pPr>
        <w:pStyle w:val="Heading3"/>
      </w:pPr>
      <w:r>
        <w:rPr>
          <w:rFonts w:ascii="Times New Roman" w:hAnsi="Times New Roman"/>
        </w:rPr>
        <w:t>C. The Child's Best Interests Require Disqualification</w:t>
      </w:r>
    </w:p>
    <w:p>
      <w:pPr>
        <w:spacing w:line="480" w:lineRule="auto" w:after="0" w:before="0"/>
      </w:pPr>
      <w:r>
        <w:rPr>
          <w:rFonts w:ascii="Times New Roman" w:hAnsi="Times New Roman"/>
          <w:b/>
          <w:sz w:val="24"/>
        </w:rPr>
        <w:t xml:space="preserve">71. </w:t>
      </w:r>
      <w:r>
        <w:rPr>
          <w:rFonts w:ascii="Times New Roman" w:hAnsi="Times New Roman"/>
          <w:b w:val="0"/>
          <w:i w:val="0"/>
          <w:sz w:val="24"/>
        </w:rPr>
        <w:t>This motion is not brought solely in vindication of Plaintiff/Father's rights, although those rights are substantial. It is brought primarily in the interest of the minor child, L.D.W. (</w:t>
      </w:r>
      <w:r>
        <w:rPr>
          <w:rFonts w:ascii="Times New Roman" w:hAnsi="Times New Roman"/>
          <w:b/>
          <w:i w:val="0"/>
          <w:sz w:val="24"/>
        </w:rPr>
        <w:t>13,119 references</w:t>
      </w:r>
      <w:r>
        <w:rPr>
          <w:rFonts w:ascii="Times New Roman" w:hAnsi="Times New Roman"/>
          <w:b w:val="0"/>
          <w:i w:val="0"/>
          <w:sz w:val="24"/>
        </w:rPr>
        <w:t xml:space="preserve"> in the case corpus), whose welfare has been grievously harmed by the biased proceedings documented herein.</w:t>
      </w:r>
    </w:p>
    <w:p>
      <w:pPr>
        <w:spacing w:line="480" w:lineRule="auto" w:after="0" w:before="0"/>
      </w:pPr>
      <w:r>
        <w:rPr>
          <w:rFonts w:ascii="Times New Roman" w:hAnsi="Times New Roman"/>
          <w:b/>
          <w:sz w:val="24"/>
        </w:rPr>
        <w:t xml:space="preserve">72. </w:t>
      </w:r>
      <w:r>
        <w:rPr>
          <w:rFonts w:ascii="Times New Roman" w:hAnsi="Times New Roman"/>
          <w:b w:val="0"/>
          <w:i w:val="0"/>
          <w:sz w:val="24"/>
        </w:rPr>
        <w:t>A child's best interests are not served by a judicial process that is infected by bias. When a court's bias leads to the progressive elimination of one parent from the child's life — as has occurred here — the child is the primary victim. L.D.W. has been deprived of a meaningful relationship with Plaintiff/Father not because such deprivation serves the child's interests, but because the Court's bias has driven the outcome.</w:t>
      </w:r>
    </w:p>
    <w:p>
      <w:pPr>
        <w:spacing w:line="480" w:lineRule="auto" w:after="0" w:before="0"/>
      </w:pPr>
      <w:r>
        <w:rPr>
          <w:rFonts w:ascii="Times New Roman" w:hAnsi="Times New Roman"/>
          <w:b/>
          <w:sz w:val="24"/>
        </w:rPr>
        <w:t xml:space="preserve">73. </w:t>
      </w:r>
      <w:r>
        <w:rPr>
          <w:rFonts w:ascii="Times New Roman" w:hAnsi="Times New Roman"/>
          <w:b w:val="0"/>
          <w:i w:val="0"/>
          <w:sz w:val="24"/>
        </w:rPr>
        <w:t>The Legislature recognized this principle by enacting MCL 722.23, the "willingness to facilitate" factor, which is specifically designed to protect the parent-child relationship from interference by the other parent or by institutional actors. The Court's failure to properly apply Factor (j) — and its apparent complicity in the alienation of L.D.W. from Plaintiff/Father — is directly attributable to the bias that pervades these proceedings.</w:t>
      </w:r>
    </w:p>
    <w:p>
      <w:pPr>
        <w:spacing w:line="480" w:lineRule="auto" w:after="0" w:before="0"/>
      </w:pPr>
      <w:r>
        <w:rPr>
          <w:rFonts w:ascii="Times New Roman" w:hAnsi="Times New Roman"/>
          <w:b/>
          <w:sz w:val="24"/>
        </w:rPr>
        <w:t xml:space="preserve">74. </w:t>
      </w:r>
      <w:r>
        <w:rPr>
          <w:rFonts w:ascii="Times New Roman" w:hAnsi="Times New Roman"/>
          <w:b w:val="0"/>
          <w:i w:val="0"/>
          <w:sz w:val="24"/>
        </w:rPr>
        <w:t>Disqualification and reassignment to a neutral judge is the only remedy that can protect L.D.W.'s right to a relationship with both parents, as guaranteed by MCL 722.27a and the United States Constitution.</w:t>
      </w:r>
    </w:p>
    <w:p>
      <w:pPr>
        <w:pStyle w:val="Heading3"/>
      </w:pPr>
      <w:r>
        <w:rPr>
          <w:rFonts w:ascii="Times New Roman" w:hAnsi="Times New Roman"/>
        </w:rPr>
        <w:t>D. The Cumulative Evidence Standard Is Satisfied</w:t>
      </w:r>
    </w:p>
    <w:p>
      <w:pPr>
        <w:spacing w:line="480" w:lineRule="auto" w:after="0" w:before="0"/>
      </w:pPr>
      <w:r>
        <w:rPr>
          <w:rFonts w:ascii="Times New Roman" w:hAnsi="Times New Roman"/>
          <w:b/>
          <w:sz w:val="24"/>
        </w:rPr>
        <w:t xml:space="preserve">75. </w:t>
      </w:r>
      <w:r>
        <w:rPr>
          <w:rFonts w:ascii="Times New Roman" w:hAnsi="Times New Roman"/>
          <w:b w:val="0"/>
          <w:i w:val="0"/>
          <w:sz w:val="24"/>
        </w:rPr>
        <w:t xml:space="preserve">Michigan law recognizes that disqualification may be warranted based on the cumulative weight of evidence, even where no single fact standing alone would suffice. </w:t>
      </w:r>
      <w:r>
        <w:rPr>
          <w:rFonts w:ascii="Times New Roman" w:hAnsi="Times New Roman"/>
          <w:b w:val="0"/>
          <w:i/>
          <w:sz w:val="24"/>
        </w:rPr>
        <w:t>Cain</w:t>
      </w:r>
      <w:r>
        <w:rPr>
          <w:rFonts w:ascii="Times New Roman" w:hAnsi="Times New Roman"/>
          <w:b w:val="0"/>
          <w:i w:val="0"/>
          <w:sz w:val="24"/>
        </w:rPr>
        <w:t xml:space="preserve">, 451 Mich at 497; </w:t>
      </w:r>
      <w:r>
        <w:rPr>
          <w:rFonts w:ascii="Times New Roman" w:hAnsi="Times New Roman"/>
          <w:b w:val="0"/>
          <w:i/>
          <w:sz w:val="24"/>
        </w:rPr>
        <w:t>Armstrong</w:t>
      </w:r>
      <w:r>
        <w:rPr>
          <w:rFonts w:ascii="Times New Roman" w:hAnsi="Times New Roman"/>
          <w:b w:val="0"/>
          <w:i w:val="0"/>
          <w:sz w:val="24"/>
        </w:rPr>
        <w:t>, 248 Mich App at 597.</w:t>
      </w:r>
    </w:p>
    <w:p>
      <w:pPr>
        <w:spacing w:line="480" w:lineRule="auto" w:after="0" w:before="0"/>
      </w:pPr>
      <w:r>
        <w:rPr>
          <w:rFonts w:ascii="Times New Roman" w:hAnsi="Times New Roman"/>
          <w:b/>
          <w:sz w:val="24"/>
        </w:rPr>
        <w:t xml:space="preserve">76. </w:t>
      </w:r>
      <w:r>
        <w:rPr>
          <w:rFonts w:ascii="Times New Roman" w:hAnsi="Times New Roman"/>
          <w:b w:val="0"/>
          <w:i w:val="0"/>
          <w:sz w:val="24"/>
        </w:rPr>
        <w:t xml:space="preserve">The evidence presented herein is not a collection of isolated grievances. It is a </w:t>
      </w:r>
      <w:r>
        <w:rPr>
          <w:rFonts w:ascii="Times New Roman" w:hAnsi="Times New Roman"/>
          <w:b/>
          <w:i w:val="0"/>
          <w:sz w:val="24"/>
        </w:rPr>
        <w:t>comprehensive, data-driven analysis</w:t>
      </w:r>
      <w:r>
        <w:rPr>
          <w:rFonts w:ascii="Times New Roman" w:hAnsi="Times New Roman"/>
          <w:b w:val="0"/>
          <w:i w:val="0"/>
          <w:sz w:val="24"/>
        </w:rPr>
        <w:t xml:space="preserve"> of a case record that speaks with a single, unmistakable voice: this Court has not provided Plaintiff/Father with a fair and impartial tribunal.</w:t>
      </w:r>
    </w:p>
    <w:p>
      <w:pPr>
        <w:spacing w:line="480" w:lineRule="auto" w:after="0" w:before="0"/>
      </w:pPr>
      <w:r>
        <w:rPr>
          <w:rFonts w:ascii="Times New Roman" w:hAnsi="Times New Roman"/>
          <w:b/>
          <w:sz w:val="24"/>
        </w:rPr>
        <w:t xml:space="preserve">77. </w:t>
      </w:r>
      <w:r>
        <w:rPr>
          <w:rFonts w:ascii="Times New Roman" w:hAnsi="Times New Roman"/>
          <w:b w:val="0"/>
          <w:i w:val="0"/>
          <w:sz w:val="24"/>
        </w:rPr>
        <w:t>The synthesis of 377 files across 51 evidence categories reveals:</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Category</w:t>
            </w:r>
          </w:p>
        </w:tc>
        <w:tc>
          <w:tcPr>
            <w:tcW w:type="dxa" w:w="4680"/>
          </w:tcPr>
          <w:p>
            <w:pPr>
              <w:spacing w:line="240" w:lineRule="auto"/>
            </w:pPr>
            <w:r/>
            <w:r>
              <w:rPr>
                <w:rFonts w:ascii="Times New Roman" w:hAnsi="Times New Roman"/>
                <w:b/>
                <w:sz w:val="24"/>
              </w:rPr>
              <w:t>Metric</w:t>
            </w:r>
          </w:p>
        </w:tc>
      </w:tr>
      <w:tr>
        <w:tc>
          <w:tcPr>
            <w:tcW w:type="dxa" w:w="4680"/>
          </w:tcPr>
          <w:p>
            <w:pPr>
              <w:spacing w:line="240" w:lineRule="auto"/>
            </w:pPr>
            <w:r/>
            <w:r>
              <w:rPr>
                <w:rFonts w:ascii="Times New Roman" w:hAnsi="Times New Roman"/>
                <w:b w:val="0"/>
                <w:i w:val="0"/>
                <w:sz w:val="24"/>
              </w:rPr>
              <w:t>Total violation keyword instances</w:t>
            </w:r>
          </w:p>
        </w:tc>
        <w:tc>
          <w:tcPr>
            <w:tcW w:type="dxa" w:w="4680"/>
          </w:tcPr>
          <w:p>
            <w:pPr>
              <w:spacing w:line="240" w:lineRule="auto"/>
            </w:pPr>
            <w:r/>
            <w:r>
              <w:rPr>
                <w:rFonts w:ascii="Times New Roman" w:hAnsi="Times New Roman"/>
                <w:b w:val="0"/>
                <w:i w:val="0"/>
                <w:sz w:val="24"/>
              </w:rPr>
              <w:t>241,160</w:t>
            </w:r>
          </w:p>
        </w:tc>
      </w:tr>
      <w:tr>
        <w:tc>
          <w:tcPr>
            <w:tcW w:type="dxa" w:w="4680"/>
          </w:tcPr>
          <w:p>
            <w:pPr>
              <w:spacing w:line="240" w:lineRule="auto"/>
            </w:pPr>
            <w:r/>
            <w:r>
              <w:rPr>
                <w:rFonts w:ascii="Times New Roman" w:hAnsi="Times New Roman"/>
                <w:b w:val="0"/>
                <w:i w:val="0"/>
                <w:sz w:val="24"/>
              </w:rPr>
              <w:t>Bias-related references</w:t>
            </w:r>
          </w:p>
        </w:tc>
        <w:tc>
          <w:tcPr>
            <w:tcW w:type="dxa" w:w="4680"/>
          </w:tcPr>
          <w:p>
            <w:pPr>
              <w:spacing w:line="240" w:lineRule="auto"/>
            </w:pPr>
            <w:r/>
            <w:r>
              <w:rPr>
                <w:rFonts w:ascii="Times New Roman" w:hAnsi="Times New Roman"/>
                <w:b w:val="0"/>
                <w:i w:val="0"/>
                <w:sz w:val="24"/>
              </w:rPr>
              <w:t>20,935</w:t>
            </w:r>
          </w:p>
        </w:tc>
      </w:tr>
      <w:tr>
        <w:tc>
          <w:tcPr>
            <w:tcW w:type="dxa" w:w="4680"/>
          </w:tcPr>
          <w:p>
            <w:pPr>
              <w:spacing w:line="240" w:lineRule="auto"/>
            </w:pPr>
            <w:r/>
            <w:r>
              <w:rPr>
                <w:rFonts w:ascii="Times New Roman" w:hAnsi="Times New Roman"/>
                <w:b w:val="0"/>
                <w:i w:val="0"/>
                <w:sz w:val="24"/>
              </w:rPr>
              <w:t>Misconduct-related references</w:t>
            </w:r>
          </w:p>
        </w:tc>
        <w:tc>
          <w:tcPr>
            <w:tcW w:type="dxa" w:w="4680"/>
          </w:tcPr>
          <w:p>
            <w:pPr>
              <w:spacing w:line="240" w:lineRule="auto"/>
            </w:pPr>
            <w:r/>
            <w:r>
              <w:rPr>
                <w:rFonts w:ascii="Times New Roman" w:hAnsi="Times New Roman"/>
                <w:b w:val="0"/>
                <w:i w:val="0"/>
                <w:sz w:val="24"/>
              </w:rPr>
              <w:t>15,296</w:t>
            </w:r>
          </w:p>
        </w:tc>
      </w:tr>
      <w:tr>
        <w:tc>
          <w:tcPr>
            <w:tcW w:type="dxa" w:w="4680"/>
          </w:tcPr>
          <w:p>
            <w:pPr>
              <w:spacing w:line="240" w:lineRule="auto"/>
            </w:pPr>
            <w:r/>
            <w:r>
              <w:rPr>
                <w:rFonts w:ascii="Times New Roman" w:hAnsi="Times New Roman"/>
                <w:b w:val="0"/>
                <w:i w:val="0"/>
                <w:sz w:val="24"/>
              </w:rPr>
              <w:t>Contempt-related references</w:t>
            </w:r>
          </w:p>
        </w:tc>
        <w:tc>
          <w:tcPr>
            <w:tcW w:type="dxa" w:w="4680"/>
          </w:tcPr>
          <w:p>
            <w:pPr>
              <w:spacing w:line="240" w:lineRule="auto"/>
            </w:pPr>
            <w:r/>
            <w:r>
              <w:rPr>
                <w:rFonts w:ascii="Times New Roman" w:hAnsi="Times New Roman"/>
                <w:b w:val="0"/>
                <w:i w:val="0"/>
                <w:sz w:val="24"/>
              </w:rPr>
              <w:t>38,357</w:t>
            </w:r>
          </w:p>
        </w:tc>
      </w:tr>
      <w:tr>
        <w:tc>
          <w:tcPr>
            <w:tcW w:type="dxa" w:w="4680"/>
          </w:tcPr>
          <w:p>
            <w:pPr>
              <w:spacing w:line="240" w:lineRule="auto"/>
            </w:pPr>
            <w:r/>
            <w:r>
              <w:rPr>
                <w:rFonts w:ascii="Times New Roman" w:hAnsi="Times New Roman"/>
                <w:b w:val="0"/>
                <w:i w:val="0"/>
                <w:sz w:val="24"/>
              </w:rPr>
              <w:t>False representation references</w:t>
            </w:r>
          </w:p>
        </w:tc>
        <w:tc>
          <w:tcPr>
            <w:tcW w:type="dxa" w:w="4680"/>
          </w:tcPr>
          <w:p>
            <w:pPr>
              <w:spacing w:line="240" w:lineRule="auto"/>
            </w:pPr>
            <w:r/>
            <w:r>
              <w:rPr>
                <w:rFonts w:ascii="Times New Roman" w:hAnsi="Times New Roman"/>
                <w:b w:val="0"/>
                <w:i w:val="0"/>
                <w:sz w:val="24"/>
              </w:rPr>
              <w:t>23,003</w:t>
            </w:r>
          </w:p>
        </w:tc>
      </w:tr>
      <w:tr>
        <w:tc>
          <w:tcPr>
            <w:tcW w:type="dxa" w:w="4680"/>
          </w:tcPr>
          <w:p>
            <w:pPr>
              <w:spacing w:line="240" w:lineRule="auto"/>
            </w:pPr>
            <w:r/>
            <w:r>
              <w:rPr>
                <w:rFonts w:ascii="Times New Roman" w:hAnsi="Times New Roman"/>
                <w:b w:val="0"/>
                <w:i w:val="0"/>
                <w:sz w:val="24"/>
              </w:rPr>
              <w:t>Fraud-related references</w:t>
            </w:r>
          </w:p>
        </w:tc>
        <w:tc>
          <w:tcPr>
            <w:tcW w:type="dxa" w:w="4680"/>
          </w:tcPr>
          <w:p>
            <w:pPr>
              <w:spacing w:line="240" w:lineRule="auto"/>
            </w:pPr>
            <w:r/>
            <w:r>
              <w:rPr>
                <w:rFonts w:ascii="Times New Roman" w:hAnsi="Times New Roman"/>
                <w:b w:val="0"/>
                <w:i w:val="0"/>
                <w:sz w:val="24"/>
              </w:rPr>
              <w:t>10,464</w:t>
            </w:r>
          </w:p>
        </w:tc>
      </w:tr>
      <w:tr>
        <w:tc>
          <w:tcPr>
            <w:tcW w:type="dxa" w:w="4680"/>
          </w:tcPr>
          <w:p>
            <w:pPr>
              <w:spacing w:line="240" w:lineRule="auto"/>
            </w:pPr>
            <w:r/>
            <w:r>
              <w:rPr>
                <w:rFonts w:ascii="Times New Roman" w:hAnsi="Times New Roman"/>
                <w:b w:val="0"/>
                <w:i w:val="0"/>
                <w:sz w:val="24"/>
              </w:rPr>
              <w:t>Alienation-related references</w:t>
            </w:r>
          </w:p>
        </w:tc>
        <w:tc>
          <w:tcPr>
            <w:tcW w:type="dxa" w:w="4680"/>
          </w:tcPr>
          <w:p>
            <w:pPr>
              <w:spacing w:line="240" w:lineRule="auto"/>
            </w:pPr>
            <w:r/>
            <w:r>
              <w:rPr>
                <w:rFonts w:ascii="Times New Roman" w:hAnsi="Times New Roman"/>
                <w:b w:val="0"/>
                <w:i w:val="0"/>
                <w:sz w:val="24"/>
              </w:rPr>
              <w:t>10,198</w:t>
            </w:r>
          </w:p>
        </w:tc>
      </w:tr>
      <w:tr>
        <w:tc>
          <w:tcPr>
            <w:tcW w:type="dxa" w:w="4680"/>
          </w:tcPr>
          <w:p>
            <w:pPr>
              <w:spacing w:line="240" w:lineRule="auto"/>
            </w:pPr>
            <w:r/>
            <w:r>
              <w:rPr>
                <w:rFonts w:ascii="Times New Roman" w:hAnsi="Times New Roman"/>
                <w:b w:val="0"/>
                <w:i w:val="0"/>
                <w:sz w:val="24"/>
              </w:rPr>
              <w:t>Denial-related references</w:t>
            </w:r>
          </w:p>
        </w:tc>
        <w:tc>
          <w:tcPr>
            <w:tcW w:type="dxa" w:w="4680"/>
          </w:tcPr>
          <w:p>
            <w:pPr>
              <w:spacing w:line="240" w:lineRule="auto"/>
            </w:pPr>
            <w:r/>
            <w:r>
              <w:rPr>
                <w:rFonts w:ascii="Times New Roman" w:hAnsi="Times New Roman"/>
                <w:b w:val="0"/>
                <w:i w:val="0"/>
                <w:sz w:val="24"/>
              </w:rPr>
              <w:t>5,752</w:t>
            </w:r>
          </w:p>
        </w:tc>
      </w:tr>
      <w:tr>
        <w:tc>
          <w:tcPr>
            <w:tcW w:type="dxa" w:w="4680"/>
          </w:tcPr>
          <w:p>
            <w:pPr>
              <w:spacing w:line="240" w:lineRule="auto"/>
            </w:pPr>
            <w:r/>
            <w:r>
              <w:rPr>
                <w:rFonts w:ascii="Times New Roman" w:hAnsi="Times New Roman"/>
                <w:b w:val="0"/>
                <w:i w:val="0"/>
                <w:sz w:val="24"/>
              </w:rPr>
              <w:t>Perjury-related references</w:t>
            </w:r>
          </w:p>
        </w:tc>
        <w:tc>
          <w:tcPr>
            <w:tcW w:type="dxa" w:w="4680"/>
          </w:tcPr>
          <w:p>
            <w:pPr>
              <w:spacing w:line="240" w:lineRule="auto"/>
            </w:pPr>
            <w:r/>
            <w:r>
              <w:rPr>
                <w:rFonts w:ascii="Times New Roman" w:hAnsi="Times New Roman"/>
                <w:b w:val="0"/>
                <w:i w:val="0"/>
                <w:sz w:val="24"/>
              </w:rPr>
              <w:t>5,205</w:t>
            </w:r>
          </w:p>
        </w:tc>
      </w:tr>
      <w:tr>
        <w:tc>
          <w:tcPr>
            <w:tcW w:type="dxa" w:w="4680"/>
          </w:tcPr>
          <w:p>
            <w:pPr>
              <w:spacing w:line="240" w:lineRule="auto"/>
            </w:pPr>
            <w:r/>
            <w:r>
              <w:rPr>
                <w:rFonts w:ascii="Times New Roman" w:hAnsi="Times New Roman"/>
                <w:b w:val="0"/>
                <w:i w:val="0"/>
                <w:sz w:val="24"/>
              </w:rPr>
              <w:t>Withholding-related references</w:t>
            </w:r>
          </w:p>
        </w:tc>
        <w:tc>
          <w:tcPr>
            <w:tcW w:type="dxa" w:w="4680"/>
          </w:tcPr>
          <w:p>
            <w:pPr>
              <w:spacing w:line="240" w:lineRule="auto"/>
            </w:pPr>
            <w:r/>
            <w:r>
              <w:rPr>
                <w:rFonts w:ascii="Times New Roman" w:hAnsi="Times New Roman"/>
                <w:b w:val="0"/>
                <w:i w:val="0"/>
                <w:sz w:val="24"/>
              </w:rPr>
              <w:t>3,648</w:t>
            </w:r>
          </w:p>
        </w:tc>
      </w:tr>
      <w:tr>
        <w:tc>
          <w:tcPr>
            <w:tcW w:type="dxa" w:w="4680"/>
          </w:tcPr>
          <w:p>
            <w:pPr>
              <w:spacing w:line="240" w:lineRule="auto"/>
            </w:pPr>
            <w:r/>
            <w:r>
              <w:rPr>
                <w:rFonts w:ascii="Times New Roman" w:hAnsi="Times New Roman"/>
                <w:b w:val="0"/>
                <w:i w:val="0"/>
                <w:sz w:val="24"/>
              </w:rPr>
              <w:t>Harassment-related references</w:t>
            </w:r>
          </w:p>
        </w:tc>
        <w:tc>
          <w:tcPr>
            <w:tcW w:type="dxa" w:w="4680"/>
          </w:tcPr>
          <w:p>
            <w:pPr>
              <w:spacing w:line="240" w:lineRule="auto"/>
            </w:pPr>
            <w:r/>
            <w:r>
              <w:rPr>
                <w:rFonts w:ascii="Times New Roman" w:hAnsi="Times New Roman"/>
                <w:b w:val="0"/>
                <w:i w:val="0"/>
                <w:sz w:val="24"/>
              </w:rPr>
              <w:t>2,114</w:t>
            </w:r>
          </w:p>
        </w:tc>
      </w:tr>
      <w:tr>
        <w:tc>
          <w:tcPr>
            <w:tcW w:type="dxa" w:w="4680"/>
          </w:tcPr>
          <w:p>
            <w:pPr>
              <w:spacing w:line="240" w:lineRule="auto"/>
            </w:pPr>
            <w:r/>
            <w:r>
              <w:rPr>
                <w:rFonts w:ascii="Times New Roman" w:hAnsi="Times New Roman"/>
                <w:b w:val="0"/>
                <w:i w:val="0"/>
                <w:sz w:val="24"/>
              </w:rPr>
              <w:t>Interference-related references</w:t>
            </w:r>
          </w:p>
        </w:tc>
        <w:tc>
          <w:tcPr>
            <w:tcW w:type="dxa" w:w="4680"/>
          </w:tcPr>
          <w:p>
            <w:pPr>
              <w:spacing w:line="240" w:lineRule="auto"/>
            </w:pPr>
            <w:r/>
            <w:r>
              <w:rPr>
                <w:rFonts w:ascii="Times New Roman" w:hAnsi="Times New Roman"/>
                <w:b w:val="0"/>
                <w:i w:val="0"/>
                <w:sz w:val="24"/>
              </w:rPr>
              <w:t>1,837</w:t>
            </w:r>
          </w:p>
        </w:tc>
      </w:tr>
      <w:tr>
        <w:tc>
          <w:tcPr>
            <w:tcW w:type="dxa" w:w="4680"/>
          </w:tcPr>
          <w:p>
            <w:pPr>
              <w:spacing w:line="240" w:lineRule="auto"/>
            </w:pPr>
            <w:r/>
            <w:r>
              <w:rPr>
                <w:rFonts w:ascii="Times New Roman" w:hAnsi="Times New Roman"/>
                <w:b w:val="0"/>
                <w:i w:val="0"/>
                <w:sz w:val="24"/>
              </w:rPr>
              <w:t>Retaliation-related references</w:t>
            </w:r>
          </w:p>
        </w:tc>
        <w:tc>
          <w:tcPr>
            <w:tcW w:type="dxa" w:w="4680"/>
          </w:tcPr>
          <w:p>
            <w:pPr>
              <w:spacing w:line="240" w:lineRule="auto"/>
            </w:pPr>
            <w:r/>
            <w:r>
              <w:rPr>
                <w:rFonts w:ascii="Times New Roman" w:hAnsi="Times New Roman"/>
                <w:b w:val="0"/>
                <w:i w:val="0"/>
                <w:sz w:val="24"/>
              </w:rPr>
              <w:t>1,316</w:t>
            </w:r>
          </w:p>
        </w:tc>
      </w:tr>
      <w:tr>
        <w:tc>
          <w:tcPr>
            <w:tcW w:type="dxa" w:w="4680"/>
          </w:tcPr>
          <w:p>
            <w:pPr>
              <w:spacing w:line="240" w:lineRule="auto"/>
            </w:pPr>
            <w:r/>
            <w:r>
              <w:rPr>
                <w:rFonts w:ascii="Times New Roman" w:hAnsi="Times New Roman"/>
                <w:b w:val="0"/>
                <w:i w:val="0"/>
                <w:sz w:val="24"/>
              </w:rPr>
              <w:t>Fabrication-related references</w:t>
            </w:r>
          </w:p>
        </w:tc>
        <w:tc>
          <w:tcPr>
            <w:tcW w:type="dxa" w:w="4680"/>
          </w:tcPr>
          <w:p>
            <w:pPr>
              <w:spacing w:line="240" w:lineRule="auto"/>
            </w:pPr>
            <w:r/>
            <w:r>
              <w:rPr>
                <w:rFonts w:ascii="Times New Roman" w:hAnsi="Times New Roman"/>
                <w:b w:val="0"/>
                <w:i w:val="0"/>
                <w:sz w:val="24"/>
              </w:rPr>
              <w:t>1,151</w:t>
            </w:r>
          </w:p>
        </w:tc>
      </w:tr>
      <w:tr>
        <w:tc>
          <w:tcPr>
            <w:tcW w:type="dxa" w:w="4680"/>
          </w:tcPr>
          <w:p>
            <w:pPr>
              <w:spacing w:line="240" w:lineRule="auto"/>
            </w:pPr>
            <w:r/>
            <w:r>
              <w:rPr>
                <w:rFonts w:ascii="Times New Roman" w:hAnsi="Times New Roman"/>
                <w:b w:val="0"/>
                <w:i w:val="0"/>
                <w:sz w:val="24"/>
              </w:rPr>
              <w:t>Deprivation-related references</w:t>
            </w:r>
          </w:p>
        </w:tc>
        <w:tc>
          <w:tcPr>
            <w:tcW w:type="dxa" w:w="4680"/>
          </w:tcPr>
          <w:p>
            <w:pPr>
              <w:spacing w:line="240" w:lineRule="auto"/>
            </w:pPr>
            <w:r/>
            <w:r>
              <w:rPr>
                <w:rFonts w:ascii="Times New Roman" w:hAnsi="Times New Roman"/>
                <w:b w:val="0"/>
                <w:i w:val="0"/>
                <w:sz w:val="24"/>
              </w:rPr>
              <w:t>937</w:t>
            </w:r>
          </w:p>
        </w:tc>
      </w:tr>
      <w:tr>
        <w:tc>
          <w:tcPr>
            <w:tcW w:type="dxa" w:w="4680"/>
          </w:tcPr>
          <w:p>
            <w:pPr>
              <w:spacing w:line="240" w:lineRule="auto"/>
            </w:pPr>
            <w:r/>
            <w:r>
              <w:rPr>
                <w:rFonts w:ascii="Times New Roman" w:hAnsi="Times New Roman"/>
                <w:b w:val="0"/>
                <w:i w:val="0"/>
                <w:sz w:val="24"/>
              </w:rPr>
              <w:t>Obstruction-related references</w:t>
            </w:r>
          </w:p>
        </w:tc>
        <w:tc>
          <w:tcPr>
            <w:tcW w:type="dxa" w:w="4680"/>
          </w:tcPr>
          <w:p>
            <w:pPr>
              <w:spacing w:line="240" w:lineRule="auto"/>
            </w:pPr>
            <w:r/>
            <w:r>
              <w:rPr>
                <w:rFonts w:ascii="Times New Roman" w:hAnsi="Times New Roman"/>
                <w:b w:val="0"/>
                <w:i w:val="0"/>
                <w:sz w:val="24"/>
              </w:rPr>
              <w:t>353</w:t>
            </w:r>
          </w:p>
        </w:tc>
      </w:tr>
    </w:tbl>
    <w:p>
      <w:pPr>
        <w:spacing w:line="480" w:lineRule="auto" w:after="0" w:before="0"/>
      </w:pPr>
      <w:r>
        <w:rPr>
          <w:rFonts w:ascii="Times New Roman" w:hAnsi="Times New Roman"/>
          <w:b/>
          <w:sz w:val="24"/>
        </w:rPr>
        <w:t xml:space="preserve">78. </w:t>
      </w:r>
      <w:r>
        <w:rPr>
          <w:rFonts w:ascii="Times New Roman" w:hAnsi="Times New Roman"/>
          <w:b w:val="0"/>
          <w:i w:val="0"/>
          <w:sz w:val="24"/>
        </w:rPr>
        <w:t xml:space="preserve">These figures are not generated by subjective assessment. They represent the output of a systematic, keyword-based analysis of the entire case corpus. They demonstrate that the issues raised in this Motion are not peripheral complaints but are </w:t>
      </w:r>
      <w:r>
        <w:rPr>
          <w:rFonts w:ascii="Times New Roman" w:hAnsi="Times New Roman"/>
          <w:b/>
          <w:i w:val="0"/>
          <w:sz w:val="24"/>
        </w:rPr>
        <w:t>the central feature of this litigation</w:t>
      </w:r>
      <w:r>
        <w:rPr>
          <w:rFonts w:ascii="Times New Roman" w:hAnsi="Times New Roman"/>
          <w:b w:val="0"/>
          <w:i w:val="0"/>
          <w:sz w:val="24"/>
        </w:rPr>
        <w:t>.</w:t>
      </w:r>
    </w:p>
    <w:p>
      <w:pPr>
        <w:spacing w:line="480" w:lineRule="auto" w:after="0" w:before="0"/>
      </w:pPr>
      <w:r>
        <w:rPr>
          <w:rFonts w:ascii="Times New Roman" w:hAnsi="Times New Roman"/>
          <w:b/>
          <w:sz w:val="24"/>
        </w:rPr>
        <w:t xml:space="preserve">79. </w:t>
      </w:r>
      <w:r>
        <w:rPr>
          <w:rFonts w:ascii="Times New Roman" w:hAnsi="Times New Roman"/>
          <w:b w:val="0"/>
          <w:i w:val="0"/>
          <w:sz w:val="24"/>
        </w:rPr>
        <w:t xml:space="preserve">Under </w:t>
      </w:r>
      <w:r>
        <w:rPr>
          <w:rFonts w:ascii="Times New Roman" w:hAnsi="Times New Roman"/>
          <w:b w:val="0"/>
          <w:i/>
          <w:sz w:val="24"/>
        </w:rPr>
        <w:t>Cain</w:t>
      </w:r>
      <w:r>
        <w:rPr>
          <w:rFonts w:ascii="Times New Roman" w:hAnsi="Times New Roman"/>
          <w:b w:val="0"/>
          <w:i w:val="0"/>
          <w:sz w:val="24"/>
        </w:rPr>
        <w:t>, the question is whether "the probability of actual bias on the part of the judge or decision-maker is too high to be constitutionally tolerable." The answer, based on the evidence presented herein, is unequivocally yes.</w:t>
      </w:r>
    </w:p>
    <w:p>
      <w:pPr>
        <w:pStyle w:val="Heading3"/>
      </w:pPr>
      <w:r>
        <w:rPr>
          <w:rFonts w:ascii="Times New Roman" w:hAnsi="Times New Roman"/>
        </w:rPr>
        <w:t>E. Disqualification Is the Appropriate Remedy</w:t>
      </w:r>
    </w:p>
    <w:p>
      <w:pPr>
        <w:spacing w:line="480" w:lineRule="auto" w:after="0" w:before="0"/>
      </w:pPr>
      <w:r>
        <w:rPr>
          <w:rFonts w:ascii="Times New Roman" w:hAnsi="Times New Roman"/>
          <w:b/>
          <w:sz w:val="24"/>
        </w:rPr>
        <w:t xml:space="preserve">80. </w:t>
      </w:r>
      <w:r>
        <w:rPr>
          <w:rFonts w:ascii="Times New Roman" w:hAnsi="Times New Roman"/>
          <w:b w:val="0"/>
          <w:i w:val="0"/>
          <w:sz w:val="24"/>
        </w:rPr>
        <w:t>The Michigan Court Rules provide disqualification as the remedy when a judge cannot fairly and impartially preside over a matter. MCR 2.003(C), (D). Disqualification is not a sanction against the judge; it is a protection for the parties and the public interest in the integrity of the judicial process.</w:t>
      </w:r>
    </w:p>
    <w:p>
      <w:pPr>
        <w:spacing w:line="480" w:lineRule="auto" w:after="0" w:before="0"/>
      </w:pPr>
      <w:r>
        <w:rPr>
          <w:rFonts w:ascii="Times New Roman" w:hAnsi="Times New Roman"/>
          <w:b/>
          <w:sz w:val="24"/>
        </w:rPr>
        <w:t xml:space="preserve">81. </w:t>
      </w:r>
      <w:r>
        <w:rPr>
          <w:rFonts w:ascii="Times New Roman" w:hAnsi="Times New Roman"/>
          <w:b w:val="0"/>
          <w:i w:val="0"/>
          <w:sz w:val="24"/>
        </w:rPr>
        <w:t>No lesser remedy is adequate. Recusal of the specific findings or orders already entered would not cure the taint of bias that pervades the entire proceeding. Only the assignment of a new, neutral judge — with authority to review the proceedings de novo and to enter orders based solely on the evidence and the law — can restore the integrity of this case.</w:t>
      </w:r>
    </w:p>
    <w:p>
      <w:pPr>
        <w:spacing w:line="480" w:lineRule="auto" w:after="0" w:before="0"/>
      </w:pPr>
      <w:r>
        <w:rPr>
          <w:rFonts w:ascii="Times New Roman" w:hAnsi="Times New Roman"/>
          <w:b/>
          <w:sz w:val="24"/>
        </w:rPr>
        <w:t xml:space="preserve">82. </w:t>
      </w:r>
      <w:r>
        <w:rPr>
          <w:rFonts w:ascii="Times New Roman" w:hAnsi="Times New Roman"/>
          <w:b w:val="0"/>
          <w:i w:val="0"/>
          <w:sz w:val="24"/>
        </w:rPr>
        <w:t xml:space="preserve">The Michigan Supreme Court has recognized that where disqualification is warranted, the remedy must be meaningful. A biased proceeding cannot be cured by the same biased decision-maker; it requires a fresh start before a neutral tribunal. </w:t>
      </w:r>
      <w:r>
        <w:rPr>
          <w:rFonts w:ascii="Times New Roman" w:hAnsi="Times New Roman"/>
          <w:b w:val="0"/>
          <w:i/>
          <w:sz w:val="24"/>
        </w:rPr>
        <w:t>Crampton</w:t>
      </w:r>
      <w:r>
        <w:rPr>
          <w:rFonts w:ascii="Times New Roman" w:hAnsi="Times New Roman"/>
          <w:b w:val="0"/>
          <w:i w:val="0"/>
          <w:sz w:val="24"/>
        </w:rPr>
        <w:t>, 395 Mich at 351-52.</w:t>
      </w:r>
    </w:p>
    <w:p>
      <w:r>
        <w:br w:type="page"/>
      </w:r>
    </w:p>
    <w:p>
      <w:pPr>
        <w:pStyle w:val="Heading2"/>
      </w:pPr>
      <w:r>
        <w:rPr>
          <w:rFonts w:ascii="Times New Roman" w:hAnsi="Times New Roman"/>
        </w:rPr>
        <w:t>VI. PRAYER FOR RELIEF</w:t>
      </w:r>
    </w:p>
    <w:p>
      <w:pPr>
        <w:spacing w:line="480" w:lineRule="auto" w:after="0" w:before="0"/>
      </w:pPr>
      <w:r>
        <w:rPr>
          <w:rFonts w:ascii="Times New Roman" w:hAnsi="Times New Roman"/>
          <w:b w:val="0"/>
          <w:i w:val="0"/>
          <w:sz w:val="24"/>
        </w:rPr>
        <w:t>WHEREFORE, Plaintiff/Father Andrew J. Pigors respectfully requests that this Honorable Court enter an Order:</w:t>
      </w:r>
    </w:p>
    <w:p>
      <w:pPr>
        <w:spacing w:line="480" w:lineRule="auto" w:after="0" w:before="0"/>
      </w:pPr>
      <w:r>
        <w:rPr>
          <w:rFonts w:ascii="Times New Roman" w:hAnsi="Times New Roman"/>
          <w:b/>
          <w:sz w:val="24"/>
        </w:rPr>
        <w:t xml:space="preserve">1. </w:t>
      </w:r>
      <w:r>
        <w:rPr>
          <w:rFonts w:ascii="Times New Roman" w:hAnsi="Times New Roman"/>
          <w:b/>
          <w:i w:val="0"/>
          <w:sz w:val="24"/>
        </w:rPr>
        <w:t>Disqualifying</w:t>
      </w:r>
      <w:r>
        <w:rPr>
          <w:rFonts w:ascii="Times New Roman" w:hAnsi="Times New Roman"/>
          <w:b w:val="0"/>
          <w:i w:val="0"/>
          <w:sz w:val="24"/>
        </w:rPr>
        <w:t xml:space="preserve"> the Honorable Jenny L. McNeill from all further proceedings in Case No. 2024-001507-DC, pursuant to MCR 2.003(C)(1)(a) and (b);</w:t>
      </w:r>
    </w:p>
    <w:p>
      <w:pPr>
        <w:spacing w:line="480" w:lineRule="auto" w:after="0" w:before="0"/>
      </w:pPr>
      <w:r>
        <w:rPr>
          <w:rFonts w:ascii="Times New Roman" w:hAnsi="Times New Roman"/>
          <w:b/>
          <w:sz w:val="24"/>
        </w:rPr>
        <w:t xml:space="preserve">2. </w:t>
      </w:r>
      <w:r>
        <w:rPr>
          <w:rFonts w:ascii="Times New Roman" w:hAnsi="Times New Roman"/>
          <w:b/>
          <w:i w:val="0"/>
          <w:sz w:val="24"/>
        </w:rPr>
        <w:t>Disqualifying</w:t>
      </w:r>
      <w:r>
        <w:rPr>
          <w:rFonts w:ascii="Times New Roman" w:hAnsi="Times New Roman"/>
          <w:b w:val="0"/>
          <w:i w:val="0"/>
          <w:sz w:val="24"/>
        </w:rPr>
        <w:t xml:space="preserve"> Judge McNeill from all related proceedings involving the parties, including but not limited to Case No. 2023-5907-PP and any other pending matters [VERIFY — list all related case numbers];</w:t>
      </w:r>
    </w:p>
    <w:p>
      <w:pPr>
        <w:spacing w:line="480" w:lineRule="auto" w:after="0" w:before="0"/>
      </w:pPr>
      <w:r>
        <w:rPr>
          <w:rFonts w:ascii="Times New Roman" w:hAnsi="Times New Roman"/>
          <w:b/>
          <w:sz w:val="24"/>
        </w:rPr>
        <w:t xml:space="preserve">3. </w:t>
      </w:r>
      <w:r>
        <w:rPr>
          <w:rFonts w:ascii="Times New Roman" w:hAnsi="Times New Roman"/>
          <w:b/>
          <w:i w:val="0"/>
          <w:sz w:val="24"/>
        </w:rPr>
        <w:t>Reassigning</w:t>
      </w:r>
      <w:r>
        <w:rPr>
          <w:rFonts w:ascii="Times New Roman" w:hAnsi="Times New Roman"/>
          <w:b w:val="0"/>
          <w:i w:val="0"/>
          <w:sz w:val="24"/>
        </w:rPr>
        <w:t xml:space="preserve"> this matter to a new judge who has had no prior involvement with the parties or the underlying disputes;</w:t>
      </w:r>
    </w:p>
    <w:p>
      <w:pPr>
        <w:spacing w:line="480" w:lineRule="auto" w:after="0" w:before="0"/>
      </w:pPr>
      <w:r>
        <w:rPr>
          <w:rFonts w:ascii="Times New Roman" w:hAnsi="Times New Roman"/>
          <w:b/>
          <w:sz w:val="24"/>
        </w:rPr>
        <w:t xml:space="preserve">4. </w:t>
      </w:r>
      <w:r>
        <w:rPr>
          <w:rFonts w:ascii="Times New Roman" w:hAnsi="Times New Roman"/>
          <w:b/>
          <w:i w:val="0"/>
          <w:sz w:val="24"/>
        </w:rPr>
        <w:t>Directing</w:t>
      </w:r>
      <w:r>
        <w:rPr>
          <w:rFonts w:ascii="Times New Roman" w:hAnsi="Times New Roman"/>
          <w:b w:val="0"/>
          <w:i w:val="0"/>
          <w:sz w:val="24"/>
        </w:rPr>
        <w:t xml:space="preserve"> that the newly assigned judge conduct a de novo review of all contested custody, parenting time, and related orders entered during Judge McNeill's tenure, to ensure that those orders were based on a proper application of the Best Interest Factors under MCL 722.23 and the evidentiary standards required by law;</w:t>
      </w:r>
    </w:p>
    <w:p>
      <w:pPr>
        <w:spacing w:line="480" w:lineRule="auto" w:after="0" w:before="0"/>
      </w:pPr>
      <w:r>
        <w:rPr>
          <w:rFonts w:ascii="Times New Roman" w:hAnsi="Times New Roman"/>
          <w:b/>
          <w:sz w:val="24"/>
        </w:rPr>
        <w:t xml:space="preserve">5. </w:t>
      </w:r>
      <w:r>
        <w:rPr>
          <w:rFonts w:ascii="Times New Roman" w:hAnsi="Times New Roman"/>
          <w:b/>
          <w:i w:val="0"/>
          <w:sz w:val="24"/>
        </w:rPr>
        <w:t>Restoring</w:t>
      </w:r>
      <w:r>
        <w:rPr>
          <w:rFonts w:ascii="Times New Roman" w:hAnsi="Times New Roman"/>
          <w:b w:val="0"/>
          <w:i w:val="0"/>
          <w:sz w:val="24"/>
        </w:rPr>
        <w:t xml:space="preserve"> Plaintiff/Father's parenting time with L.D.W. pending the de novo review, on such terms as the newly assigned judge deems appropriate to protect the child's safety and welfare while preserving the parent-child relationship;</w:t>
      </w:r>
    </w:p>
    <w:p>
      <w:pPr>
        <w:spacing w:line="480" w:lineRule="auto" w:after="0" w:before="0"/>
      </w:pPr>
      <w:r>
        <w:rPr>
          <w:rFonts w:ascii="Times New Roman" w:hAnsi="Times New Roman"/>
          <w:b/>
          <w:sz w:val="24"/>
        </w:rPr>
        <w:t xml:space="preserve">6. </w:t>
      </w:r>
      <w:r>
        <w:rPr>
          <w:rFonts w:ascii="Times New Roman" w:hAnsi="Times New Roman"/>
          <w:b/>
          <w:i w:val="0"/>
          <w:sz w:val="24"/>
        </w:rPr>
        <w:t>Vacating</w:t>
      </w:r>
      <w:r>
        <w:rPr>
          <w:rFonts w:ascii="Times New Roman" w:hAnsi="Times New Roman"/>
          <w:b w:val="0"/>
          <w:i w:val="0"/>
          <w:sz w:val="24"/>
        </w:rPr>
        <w:t xml:space="preserve"> any orders entered as a result of ex parte communications, upon a finding by the newly assigned judge that such orders were so tainted;</w:t>
      </w:r>
    </w:p>
    <w:p>
      <w:pPr>
        <w:spacing w:line="480" w:lineRule="auto" w:after="0" w:before="0"/>
      </w:pPr>
      <w:r>
        <w:rPr>
          <w:rFonts w:ascii="Times New Roman" w:hAnsi="Times New Roman"/>
          <w:b/>
          <w:sz w:val="24"/>
        </w:rPr>
        <w:t xml:space="preserve">7. </w:t>
      </w:r>
      <w:r>
        <w:rPr>
          <w:rFonts w:ascii="Times New Roman" w:hAnsi="Times New Roman"/>
          <w:b/>
          <w:i w:val="0"/>
          <w:sz w:val="24"/>
        </w:rPr>
        <w:t>Removing</w:t>
      </w:r>
      <w:r>
        <w:rPr>
          <w:rFonts w:ascii="Times New Roman" w:hAnsi="Times New Roman"/>
          <w:b w:val="0"/>
          <w:i w:val="0"/>
          <w:sz w:val="24"/>
        </w:rPr>
        <w:t xml:space="preserve"> any filing restrictions or sanctions imposed on Plaintiff/Father that were the product of retaliatory judicial conduct;</w:t>
      </w:r>
    </w:p>
    <w:p>
      <w:pPr>
        <w:spacing w:line="480" w:lineRule="auto" w:after="0" w:before="0"/>
      </w:pPr>
      <w:r>
        <w:rPr>
          <w:rFonts w:ascii="Times New Roman" w:hAnsi="Times New Roman"/>
          <w:b/>
          <w:sz w:val="24"/>
        </w:rPr>
        <w:t xml:space="preserve">8. </w:t>
      </w:r>
      <w:r>
        <w:rPr>
          <w:rFonts w:ascii="Times New Roman" w:hAnsi="Times New Roman"/>
          <w:b w:val="0"/>
          <w:i w:val="0"/>
          <w:sz w:val="24"/>
        </w:rPr>
        <w:t>Granting such other and further relief as this Court deems just and equitable.</w:t>
      </w:r>
    </w:p>
    <w:p>
      <w:pPr>
        <w:spacing w:line="480" w:lineRule="auto" w:after="0" w:before="0"/>
      </w:pPr>
      <w:r>
        <w:rPr>
          <w:rFonts w:ascii="Times New Roman" w:hAnsi="Times New Roman"/>
          <w:b w:val="0"/>
          <w:i w:val="0"/>
          <w:sz w:val="24"/>
        </w:rPr>
        <w:t>In the alternative, if this Motion is denied by the challenged judge, Plaintiff/Father respectfully requests, pursuant to MCR 2.003(D)(3)(a), that the motion be referred to the Chief Judge of the 14th Judicial Circuit Court (or, if Judge McNeill is the Chief Judge, to the State Court Administrator) for de novo determination by a different judge.</w:t>
      </w:r>
    </w:p>
    <w:p>
      <w:r>
        <w:br w:type="page"/>
      </w:r>
    </w:p>
    <w:p>
      <w:pPr>
        <w:pStyle w:val="Heading2"/>
      </w:pPr>
      <w:r>
        <w:rPr>
          <w:rFonts w:ascii="Times New Roman" w:hAnsi="Times New Roman"/>
        </w:rPr>
        <w:t>VII. VERIFICATION</w:t>
      </w:r>
    </w:p>
    <w:p>
      <w:pPr>
        <w:pStyle w:val="Heading3"/>
      </w:pPr>
      <w:r>
        <w:rPr>
          <w:rFonts w:ascii="Times New Roman" w:hAnsi="Times New Roman"/>
        </w:rPr>
        <w:t>Declaration Under MCR 1.109(D)(3)</w:t>
      </w:r>
    </w:p>
    <w:p>
      <w:pPr>
        <w:spacing w:line="480" w:lineRule="auto" w:after="0" w:before="0"/>
      </w:pPr>
      <w:r>
        <w:rPr>
          <w:rFonts w:ascii="Times New Roman" w:hAnsi="Times New Roman"/>
          <w:b w:val="0"/>
          <w:i w:val="0"/>
          <w:sz w:val="24"/>
        </w:rPr>
        <w:t>I, Andrew J. Pigors, declare under the penalties of perjury under the laws of the State of Michigan that the foregoing statements of fact are true to the best of my knowledge, information, and belief, and that the opinions and conclusions expressed herein are based on my personal knowledge of the proceedings and my review of the case record.</w:t>
      </w:r>
    </w:p>
    <w:p>
      <w:pPr>
        <w:spacing w:line="480" w:lineRule="auto" w:after="0" w:before="0"/>
      </w:pPr>
      <w:r>
        <w:rPr>
          <w:rFonts w:ascii="Times New Roman" w:hAnsi="Times New Roman"/>
          <w:b w:val="0"/>
          <w:i w:val="0"/>
          <w:sz w:val="24"/>
        </w:rPr>
        <w:t>I further declare that this Motion is filed in good faith and not for the purpose of delay, and that the grounds for disqualification stated herein are based on specific facts that I believe demonstrate actual bias or prejudice on the part of the Honorable Jenny L. McNeill.</w:t>
      </w:r>
    </w:p>
    <w:p>
      <w:pPr>
        <w:spacing w:line="480" w:lineRule="auto" w:after="0" w:before="0"/>
      </w:pPr>
      <w:r>
        <w:rPr>
          <w:rFonts w:ascii="Times New Roman" w:hAnsi="Times New Roman"/>
          <w:b/>
          <w:i w:val="0"/>
          <w:sz w:val="24"/>
        </w:rPr>
        <w:t>[VERIFY: Movant MUST personally review and confirm every factual assertion in this Motion before signing this verification. Signing a verification containing statements known to be false may constitute perjury under MCL 750.423 and contempt of court under MCL 600.5701. Do NOT sign until all [VERIFY] items have been independently confirmed.]</w:t>
      </w:r>
    </w:p>
    <w:p>
      <w:pPr>
        <w:spacing w:line="480" w:lineRule="auto" w:after="0" w:before="0"/>
      </w:pPr>
      <w:r>
        <w:rPr>
          <w:rFonts w:ascii="Times New Roman" w:hAnsi="Times New Roman"/>
          <w:b w:val="0"/>
          <w:i w:val="0"/>
          <w:sz w:val="24"/>
        </w:rPr>
        <w:t>Date: ___________________________</w:t>
      </w:r>
    </w:p>
    <w:p>
      <w:pPr>
        <w:spacing w:line="480" w:lineRule="auto" w:after="0" w:before="0"/>
      </w:pPr>
      <w:r>
        <w:rPr>
          <w:rFonts w:ascii="Times New Roman" w:hAnsi="Times New Roman"/>
          <w:b w:val="0"/>
          <w:i w:val="0"/>
          <w:sz w:val="24"/>
        </w:rPr>
        <w:t xml:space="preserve">Signature: ___________________________ Andrew J. Pigors, Plaintiff, </w:t>
      </w:r>
      <w:r>
        <w:rPr>
          <w:rFonts w:ascii="Times New Roman" w:hAnsi="Times New Roman"/>
          <w:b w:val="0"/>
          <w:i/>
          <w:sz w:val="24"/>
        </w:rPr>
        <w:t>Pro Se</w:t>
      </w:r>
      <w:r>
        <w:rPr>
          <w:rFonts w:ascii="Times New Roman" w:hAnsi="Times New Roman"/>
          <w:b w:val="0"/>
          <w:i w:val="0"/>
          <w:sz w:val="24"/>
        </w:rPr>
        <w:t xml:space="preserve"> [VERIFY — Address] [VERIFY — Phone] [VERIFY — Email]</w:t>
      </w:r>
    </w:p>
    <w:p>
      <w:r>
        <w:br w:type="page"/>
      </w:r>
    </w:p>
    <w:p>
      <w:pPr>
        <w:pStyle w:val="Heading2"/>
      </w:pPr>
      <w:r>
        <w:rPr>
          <w:rFonts w:ascii="Times New Roman" w:hAnsi="Times New Roman"/>
        </w:rPr>
        <w:t>VIII. CERTIFICATE OF SERVICE</w:t>
      </w:r>
    </w:p>
    <w:p>
      <w:pPr>
        <w:spacing w:line="480" w:lineRule="auto" w:after="0" w:before="0"/>
      </w:pPr>
      <w:r>
        <w:rPr>
          <w:rFonts w:ascii="Times New Roman" w:hAnsi="Times New Roman"/>
          <w:b w:val="0"/>
          <w:i w:val="0"/>
          <w:sz w:val="24"/>
        </w:rPr>
        <w:t>I, Andrew J. Pigors, certify that on the ______ day of _______________, 20____, I served a true and correct copy of this Motion for Disqualification of Judge, together with all attached exhibits, upon the following parties by [VERIFY — method of service: first-class mail, personal service, electronic filing, or other method permitted by MCR 2.107]:</w:t>
      </w:r>
    </w:p>
    <w:p>
      <w:pPr>
        <w:spacing w:line="480" w:lineRule="auto" w:after="0" w:before="0"/>
      </w:pPr>
      <w:r>
        <w:rPr>
          <w:rFonts w:ascii="Times New Roman" w:hAnsi="Times New Roman"/>
          <w:b/>
          <w:i w:val="0"/>
          <w:sz w:val="24"/>
        </w:rPr>
        <w:t>Defendant/Mother:</w:t>
      </w:r>
      <w:r>
        <w:rPr>
          <w:rFonts w:ascii="Times New Roman" w:hAnsi="Times New Roman"/>
          <w:b w:val="0"/>
          <w:i w:val="0"/>
          <w:sz w:val="24"/>
        </w:rPr>
        <w:t xml:space="preserve"> Emily Watson [VERIFY — Address for service]</w:t>
      </w:r>
    </w:p>
    <w:p>
      <w:pPr>
        <w:spacing w:line="480" w:lineRule="auto" w:after="0" w:before="0"/>
      </w:pPr>
      <w:r>
        <w:rPr>
          <w:rFonts w:ascii="Times New Roman" w:hAnsi="Times New Roman"/>
          <w:b/>
          <w:i w:val="0"/>
          <w:sz w:val="24"/>
        </w:rPr>
        <w:t>Attorney/Guardian ad Litem:</w:t>
      </w:r>
      <w:r>
        <w:rPr>
          <w:rFonts w:ascii="Times New Roman" w:hAnsi="Times New Roman"/>
          <w:b w:val="0"/>
          <w:i w:val="0"/>
          <w:sz w:val="24"/>
        </w:rPr>
        <w:t xml:space="preserve"> [VERIFY — Rusco's full name and title] [VERIFY — Rusco's address for service]</w:t>
      </w:r>
    </w:p>
    <w:p>
      <w:pPr>
        <w:spacing w:line="480" w:lineRule="auto" w:after="0" w:before="0"/>
      </w:pPr>
      <w:r>
        <w:rPr>
          <w:rFonts w:ascii="Times New Roman" w:hAnsi="Times New Roman"/>
          <w:b/>
          <w:i w:val="0"/>
          <w:sz w:val="24"/>
        </w:rPr>
        <w:t>Friend of the Court:</w:t>
      </w:r>
      <w:r>
        <w:rPr>
          <w:rFonts w:ascii="Times New Roman" w:hAnsi="Times New Roman"/>
          <w:b w:val="0"/>
          <w:i w:val="0"/>
          <w:sz w:val="24"/>
        </w:rPr>
        <w:t xml:space="preserve"> Muskegon County Friend of the Court [VERIFY — Address]</w:t>
      </w:r>
    </w:p>
    <w:p>
      <w:pPr>
        <w:spacing w:line="480" w:lineRule="auto" w:after="0" w:before="0"/>
      </w:pPr>
      <w:r>
        <w:rPr>
          <w:rFonts w:ascii="Times New Roman" w:hAnsi="Times New Roman"/>
          <w:b/>
          <w:i w:val="0"/>
          <w:sz w:val="24"/>
        </w:rPr>
        <w:t>Clerk of the Court:</w:t>
      </w:r>
      <w:r>
        <w:rPr>
          <w:rFonts w:ascii="Times New Roman" w:hAnsi="Times New Roman"/>
          <w:b w:val="0"/>
          <w:i w:val="0"/>
          <w:sz w:val="24"/>
        </w:rPr>
        <w:t xml:space="preserve"> 14th Judicial Circuit Court, Family Division Muskegon County Courthouse [VERIFY — Address]</w:t>
      </w:r>
    </w:p>
    <w:p>
      <w:pPr>
        <w:spacing w:line="480" w:lineRule="auto" w:after="0" w:before="0"/>
      </w:pPr>
      <w:r>
        <w:rPr>
          <w:rFonts w:ascii="Times New Roman" w:hAnsi="Times New Roman"/>
          <w:b w:val="0"/>
          <w:i w:val="0"/>
          <w:sz w:val="24"/>
        </w:rPr>
        <w:t>Date: ___________________________</w:t>
      </w:r>
    </w:p>
    <w:p>
      <w:pPr>
        <w:spacing w:line="480" w:lineRule="auto" w:after="0" w:before="0"/>
      </w:pPr>
      <w:r>
        <w:rPr>
          <w:rFonts w:ascii="Times New Roman" w:hAnsi="Times New Roman"/>
          <w:b w:val="0"/>
          <w:i w:val="0"/>
          <w:sz w:val="24"/>
        </w:rPr>
        <w:t xml:space="preserve">Signature: ___________________________ Andrew J. Pigors, Plaintiff, </w:t>
      </w:r>
      <w:r>
        <w:rPr>
          <w:rFonts w:ascii="Times New Roman" w:hAnsi="Times New Roman"/>
          <w:b w:val="0"/>
          <w:i/>
          <w:sz w:val="24"/>
        </w:rPr>
        <w:t>Pro Se</w:t>
      </w:r>
    </w:p>
    <w:p>
      <w:r>
        <w:br w:type="page"/>
      </w:r>
    </w:p>
    <w:p>
      <w:pPr>
        <w:pStyle w:val="Heading2"/>
      </w:pPr>
      <w:r>
        <w:rPr>
          <w:rFonts w:ascii="Times New Roman" w:hAnsi="Times New Roman"/>
        </w:rPr>
        <w:t>EXHIBIT INDEX</w:t>
      </w:r>
    </w:p>
    <w:p>
      <w:pPr>
        <w:spacing w:line="480" w:lineRule="auto" w:after="0" w:before="0"/>
      </w:pPr>
      <w:r>
        <w:rPr>
          <w:rFonts w:ascii="Times New Roman" w:hAnsi="Times New Roman"/>
          <w:b w:val="0"/>
          <w:i w:val="0"/>
          <w:sz w:val="24"/>
        </w:rPr>
        <w:t>The following exhibits are attached to or incorporated by reference in this Motion. Movant reserves the right to supplement this exhibit list as additional evidence is identified.</w:t>
      </w:r>
    </w:p>
    <w:p>
      <w:r>
        <w:br w:type="page"/>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Exhibit</w:t>
            </w:r>
          </w:p>
        </w:tc>
        <w:tc>
          <w:tcPr>
            <w:tcW w:type="dxa" w:w="3120"/>
          </w:tcPr>
          <w:p>
            <w:pPr>
              <w:spacing w:line="240" w:lineRule="auto"/>
            </w:pPr>
            <w:r/>
            <w:r>
              <w:rPr>
                <w:rFonts w:ascii="Times New Roman" w:hAnsi="Times New Roman"/>
                <w:b/>
                <w:sz w:val="24"/>
              </w:rPr>
              <w:t>Description</w:t>
            </w:r>
          </w:p>
        </w:tc>
        <w:tc>
          <w:tcPr>
            <w:tcW w:type="dxa" w:w="3120"/>
          </w:tcPr>
          <w:p>
            <w:pPr>
              <w:spacing w:line="240" w:lineRule="auto"/>
            </w:pPr>
            <w:r/>
            <w:r>
              <w:rPr>
                <w:rFonts w:ascii="Times New Roman" w:hAnsi="Times New Roman"/>
                <w:b/>
                <w:sz w:val="24"/>
              </w:rPr>
              <w:t>[VERIFY]</w:t>
            </w:r>
          </w:p>
        </w:tc>
      </w:tr>
      <w:tr>
        <w:tc>
          <w:tcPr>
            <w:tcW w:type="dxa" w:w="3120"/>
          </w:tcPr>
          <w:p>
            <w:pPr>
              <w:spacing w:line="240" w:lineRule="auto"/>
            </w:pPr>
            <w:r/>
            <w:r>
              <w:rPr>
                <w:rFonts w:ascii="Times New Roman" w:hAnsi="Times New Roman"/>
                <w:b w:val="0"/>
                <w:i w:val="0"/>
                <w:sz w:val="24"/>
              </w:rPr>
              <w:t>A</w:t>
            </w:r>
          </w:p>
        </w:tc>
        <w:tc>
          <w:tcPr>
            <w:tcW w:type="dxa" w:w="3120"/>
          </w:tcPr>
          <w:p>
            <w:pPr>
              <w:spacing w:line="240" w:lineRule="auto"/>
            </w:pPr>
            <w:r/>
            <w:r>
              <w:rPr>
                <w:rFonts w:ascii="Times New Roman" w:hAnsi="Times New Roman"/>
                <w:b w:val="0"/>
                <w:i w:val="0"/>
                <w:sz w:val="24"/>
              </w:rPr>
              <w:t>Chronological table of all contested orders and rulings, showing party prevailing and basis stated</w:t>
            </w:r>
          </w:p>
        </w:tc>
        <w:tc>
          <w:tcPr>
            <w:tcW w:type="dxa" w:w="3120"/>
          </w:tcPr>
          <w:p>
            <w:pPr>
              <w:spacing w:line="240" w:lineRule="auto"/>
            </w:pPr>
            <w:r/>
            <w:r>
              <w:rPr>
                <w:rFonts w:ascii="Times New Roman" w:hAnsi="Times New Roman"/>
                <w:b w:val="0"/>
                <w:i w:val="0"/>
                <w:sz w:val="24"/>
              </w:rPr>
              <w:t>[VERIFY — compile from docket]</w:t>
            </w:r>
          </w:p>
        </w:tc>
      </w:tr>
      <w:tr>
        <w:tc>
          <w:tcPr>
            <w:tcW w:type="dxa" w:w="3120"/>
          </w:tcPr>
          <w:p>
            <w:pPr>
              <w:spacing w:line="240" w:lineRule="auto"/>
            </w:pPr>
            <w:r/>
            <w:r>
              <w:rPr>
                <w:rFonts w:ascii="Times New Roman" w:hAnsi="Times New Roman"/>
                <w:b w:val="0"/>
                <w:i w:val="0"/>
                <w:sz w:val="24"/>
              </w:rPr>
              <w:t>B</w:t>
            </w:r>
          </w:p>
        </w:tc>
        <w:tc>
          <w:tcPr>
            <w:tcW w:type="dxa" w:w="3120"/>
          </w:tcPr>
          <w:p>
            <w:pPr>
              <w:spacing w:line="240" w:lineRule="auto"/>
            </w:pPr>
            <w:r/>
            <w:r>
              <w:rPr>
                <w:rFonts w:ascii="Times New Roman" w:hAnsi="Times New Roman"/>
                <w:b w:val="0"/>
                <w:i w:val="0"/>
                <w:sz w:val="24"/>
              </w:rPr>
              <w:t>Transcript excerpts demonstrating hostile judicial conduct and prejudicial statements</w:t>
            </w:r>
          </w:p>
        </w:tc>
        <w:tc>
          <w:tcPr>
            <w:tcW w:type="dxa" w:w="3120"/>
          </w:tcPr>
          <w:p>
            <w:pPr>
              <w:spacing w:line="240" w:lineRule="auto"/>
            </w:pPr>
            <w:r/>
            <w:r>
              <w:rPr>
                <w:rFonts w:ascii="Times New Roman" w:hAnsi="Times New Roman"/>
                <w:b w:val="0"/>
                <w:i w:val="0"/>
                <w:sz w:val="24"/>
              </w:rPr>
              <w:t>[VERIFY — obtain and excerpt relevant transcripts]</w:t>
            </w:r>
          </w:p>
        </w:tc>
      </w:tr>
      <w:tr>
        <w:tc>
          <w:tcPr>
            <w:tcW w:type="dxa" w:w="3120"/>
          </w:tcPr>
          <w:p>
            <w:pPr>
              <w:spacing w:line="240" w:lineRule="auto"/>
            </w:pPr>
            <w:r/>
            <w:r>
              <w:rPr>
                <w:rFonts w:ascii="Times New Roman" w:hAnsi="Times New Roman"/>
                <w:b w:val="0"/>
                <w:i w:val="0"/>
                <w:sz w:val="24"/>
              </w:rPr>
              <w:t>C</w:t>
            </w:r>
          </w:p>
        </w:tc>
        <w:tc>
          <w:tcPr>
            <w:tcW w:type="dxa" w:w="3120"/>
          </w:tcPr>
          <w:p>
            <w:pPr>
              <w:spacing w:line="240" w:lineRule="auto"/>
            </w:pPr>
            <w:r/>
            <w:r>
              <w:rPr>
                <w:rFonts w:ascii="Times New Roman" w:hAnsi="Times New Roman"/>
                <w:b w:val="0"/>
                <w:i w:val="0"/>
                <w:sz w:val="24"/>
              </w:rPr>
              <w:t>Orders restricting and denying parenting time, with analysis of missing BIF findings</w:t>
            </w:r>
          </w:p>
        </w:tc>
        <w:tc>
          <w:tcPr>
            <w:tcW w:type="dxa" w:w="3120"/>
          </w:tcPr>
          <w:p>
            <w:pPr>
              <w:spacing w:line="240" w:lineRule="auto"/>
            </w:pPr>
            <w:r/>
            <w:r>
              <w:rPr>
                <w:rFonts w:ascii="Times New Roman" w:hAnsi="Times New Roman"/>
                <w:b w:val="0"/>
                <w:i w:val="0"/>
                <w:sz w:val="24"/>
              </w:rPr>
              <w:t>[VERIFY — compile from filed orders]</w:t>
            </w:r>
          </w:p>
        </w:tc>
      </w:tr>
      <w:tr>
        <w:tc>
          <w:tcPr>
            <w:tcW w:type="dxa" w:w="3120"/>
          </w:tcPr>
          <w:p>
            <w:pPr>
              <w:spacing w:line="240" w:lineRule="auto"/>
            </w:pPr>
            <w:r/>
            <w:r>
              <w:rPr>
                <w:rFonts w:ascii="Times New Roman" w:hAnsi="Times New Roman"/>
                <w:b w:val="0"/>
                <w:i w:val="0"/>
                <w:sz w:val="24"/>
              </w:rPr>
              <w:t>D</w:t>
            </w:r>
          </w:p>
        </w:tc>
        <w:tc>
          <w:tcPr>
            <w:tcW w:type="dxa" w:w="3120"/>
          </w:tcPr>
          <w:p>
            <w:pPr>
              <w:spacing w:line="240" w:lineRule="auto"/>
            </w:pPr>
            <w:r/>
            <w:r>
              <w:rPr>
                <w:rFonts w:ascii="Times New Roman" w:hAnsi="Times New Roman"/>
                <w:b w:val="0"/>
                <w:i w:val="0"/>
                <w:sz w:val="24"/>
              </w:rPr>
              <w:t>Evidence of ex parte communication indicators, including timeline analysis</w:t>
            </w:r>
          </w:p>
        </w:tc>
        <w:tc>
          <w:tcPr>
            <w:tcW w:type="dxa" w:w="3120"/>
          </w:tcPr>
          <w:p>
            <w:pPr>
              <w:spacing w:line="240" w:lineRule="auto"/>
            </w:pPr>
            <w:r/>
            <w:r>
              <w:rPr>
                <w:rFonts w:ascii="Times New Roman" w:hAnsi="Times New Roman"/>
                <w:b w:val="0"/>
                <w:i w:val="0"/>
                <w:sz w:val="24"/>
              </w:rPr>
              <w:t>[VERIFY — compile from record and JTC filing]</w:t>
            </w:r>
          </w:p>
        </w:tc>
      </w:tr>
      <w:tr>
        <w:tc>
          <w:tcPr>
            <w:tcW w:type="dxa" w:w="3120"/>
          </w:tcPr>
          <w:p>
            <w:pPr>
              <w:spacing w:line="240" w:lineRule="auto"/>
            </w:pPr>
            <w:r/>
            <w:r>
              <w:rPr>
                <w:rFonts w:ascii="Times New Roman" w:hAnsi="Times New Roman"/>
                <w:b w:val="0"/>
                <w:i w:val="0"/>
                <w:sz w:val="24"/>
              </w:rPr>
              <w:t>E</w:t>
            </w:r>
          </w:p>
        </w:tc>
        <w:tc>
          <w:tcPr>
            <w:tcW w:type="dxa" w:w="3120"/>
          </w:tcPr>
          <w:p>
            <w:pPr>
              <w:spacing w:line="240" w:lineRule="auto"/>
            </w:pPr>
            <w:r/>
            <w:r>
              <w:rPr>
                <w:rFonts w:ascii="Times New Roman" w:hAnsi="Times New Roman"/>
                <w:b w:val="0"/>
                <w:i w:val="0"/>
                <w:sz w:val="24"/>
              </w:rPr>
              <w:t>Statistical analysis of ruling patterns</w:t>
            </w:r>
          </w:p>
        </w:tc>
        <w:tc>
          <w:tcPr>
            <w:tcW w:type="dxa" w:w="3120"/>
          </w:tcPr>
          <w:p>
            <w:pPr>
              <w:spacing w:line="240" w:lineRule="auto"/>
            </w:pPr>
            <w:r/>
            <w:r>
              <w:rPr>
                <w:rFonts w:ascii="Times New Roman" w:hAnsi="Times New Roman"/>
                <w:b w:val="0"/>
                <w:i w:val="0"/>
                <w:sz w:val="24"/>
              </w:rPr>
              <w:t>[VERIFY — compile from docket]</w:t>
            </w:r>
          </w:p>
        </w:tc>
      </w:tr>
      <w:tr>
        <w:tc>
          <w:tcPr>
            <w:tcW w:type="dxa" w:w="3120"/>
          </w:tcPr>
          <w:p>
            <w:pPr>
              <w:spacing w:line="240" w:lineRule="auto"/>
            </w:pPr>
            <w:r/>
            <w:r>
              <w:rPr>
                <w:rFonts w:ascii="Times New Roman" w:hAnsi="Times New Roman"/>
                <w:b w:val="0"/>
                <w:i w:val="0"/>
                <w:sz w:val="24"/>
              </w:rPr>
              <w:t>F</w:t>
            </w:r>
          </w:p>
        </w:tc>
        <w:tc>
          <w:tcPr>
            <w:tcW w:type="dxa" w:w="3120"/>
          </w:tcPr>
          <w:p>
            <w:pPr>
              <w:spacing w:line="240" w:lineRule="auto"/>
            </w:pPr>
            <w:r/>
            <w:r>
              <w:rPr>
                <w:rFonts w:ascii="Times New Roman" w:hAnsi="Times New Roman"/>
                <w:b w:val="0"/>
                <w:i w:val="0"/>
                <w:sz w:val="24"/>
              </w:rPr>
              <w:t>Evidence of alienation and interference with parent-child relationship (MCL 722.27a analysis)</w:t>
            </w:r>
          </w:p>
        </w:tc>
        <w:tc>
          <w:tcPr>
            <w:tcW w:type="dxa" w:w="3120"/>
          </w:tcPr>
          <w:p>
            <w:pPr>
              <w:spacing w:line="240" w:lineRule="auto"/>
            </w:pPr>
            <w:r/>
            <w:r>
              <w:rPr>
                <w:rFonts w:ascii="Times New Roman" w:hAnsi="Times New Roman"/>
                <w:b w:val="0"/>
                <w:i w:val="0"/>
                <w:sz w:val="24"/>
              </w:rPr>
              <w:t>[VERIFY — compile from evidence corpus]</w:t>
            </w:r>
          </w:p>
        </w:tc>
      </w:tr>
      <w:tr>
        <w:tc>
          <w:tcPr>
            <w:tcW w:type="dxa" w:w="3120"/>
          </w:tcPr>
          <w:p>
            <w:pPr>
              <w:spacing w:line="240" w:lineRule="auto"/>
            </w:pPr>
            <w:r/>
            <w:r>
              <w:rPr>
                <w:rFonts w:ascii="Times New Roman" w:hAnsi="Times New Roman"/>
                <w:b w:val="0"/>
                <w:i w:val="0"/>
                <w:sz w:val="24"/>
              </w:rPr>
              <w:t>G</w:t>
            </w:r>
          </w:p>
        </w:tc>
        <w:tc>
          <w:tcPr>
            <w:tcW w:type="dxa" w:w="3120"/>
          </w:tcPr>
          <w:p>
            <w:pPr>
              <w:spacing w:line="240" w:lineRule="auto"/>
            </w:pPr>
            <w:r/>
            <w:r>
              <w:rPr>
                <w:rFonts w:ascii="Times New Roman" w:hAnsi="Times New Roman"/>
                <w:b w:val="0"/>
                <w:i w:val="0"/>
                <w:sz w:val="24"/>
              </w:rPr>
              <w:t>Financial impact analysis</w:t>
            </w:r>
          </w:p>
        </w:tc>
        <w:tc>
          <w:tcPr>
            <w:tcW w:type="dxa" w:w="3120"/>
          </w:tcPr>
          <w:p>
            <w:pPr>
              <w:spacing w:line="240" w:lineRule="auto"/>
            </w:pPr>
            <w:r/>
            <w:r>
              <w:rPr>
                <w:rFonts w:ascii="Times New Roman" w:hAnsi="Times New Roman"/>
                <w:b w:val="0"/>
                <w:i w:val="0"/>
                <w:sz w:val="24"/>
              </w:rPr>
              <w:t>[VERIFY — compile from financial records and orders]</w:t>
            </w:r>
          </w:p>
        </w:tc>
      </w:tr>
      <w:tr>
        <w:tc>
          <w:tcPr>
            <w:tcW w:type="dxa" w:w="3120"/>
          </w:tcPr>
          <w:p>
            <w:pPr>
              <w:spacing w:line="240" w:lineRule="auto"/>
            </w:pPr>
            <w:r/>
            <w:r>
              <w:rPr>
                <w:rFonts w:ascii="Times New Roman" w:hAnsi="Times New Roman"/>
                <w:b w:val="0"/>
                <w:i w:val="0"/>
                <w:sz w:val="24"/>
              </w:rPr>
              <w:t>H</w:t>
            </w:r>
          </w:p>
        </w:tc>
        <w:tc>
          <w:tcPr>
            <w:tcW w:type="dxa" w:w="3120"/>
          </w:tcPr>
          <w:p>
            <w:pPr>
              <w:spacing w:line="240" w:lineRule="auto"/>
            </w:pPr>
            <w:r/>
            <w:r>
              <w:rPr>
                <w:rFonts w:ascii="Times New Roman" w:hAnsi="Times New Roman"/>
                <w:b w:val="0"/>
                <w:i w:val="0"/>
                <w:sz w:val="24"/>
              </w:rPr>
              <w:t>Affidavit of Andrew J. Pigors in Support of Disqualification</w:t>
            </w:r>
          </w:p>
        </w:tc>
        <w:tc>
          <w:tcPr>
            <w:tcW w:type="dxa" w:w="3120"/>
          </w:tcPr>
          <w:p>
            <w:pPr>
              <w:spacing w:line="240" w:lineRule="auto"/>
            </w:pPr>
            <w:r/>
            <w:r>
              <w:rPr>
                <w:rFonts w:ascii="Times New Roman" w:hAnsi="Times New Roman"/>
                <w:b w:val="0"/>
                <w:i w:val="0"/>
                <w:sz w:val="24"/>
              </w:rPr>
              <w:t>[VERIFY — draft and execute affidavit]</w:t>
            </w:r>
          </w:p>
        </w:tc>
      </w:tr>
      <w:tr>
        <w:tc>
          <w:tcPr>
            <w:tcW w:type="dxa" w:w="3120"/>
          </w:tcPr>
          <w:p>
            <w:pPr>
              <w:spacing w:line="240" w:lineRule="auto"/>
            </w:pPr>
            <w:r/>
            <w:r>
              <w:rPr>
                <w:rFonts w:ascii="Times New Roman" w:hAnsi="Times New Roman"/>
                <w:b w:val="0"/>
                <w:i w:val="0"/>
                <w:sz w:val="24"/>
              </w:rPr>
              <w:t>I</w:t>
            </w:r>
          </w:p>
        </w:tc>
        <w:tc>
          <w:tcPr>
            <w:tcW w:type="dxa" w:w="3120"/>
          </w:tcPr>
          <w:p>
            <w:pPr>
              <w:spacing w:line="240" w:lineRule="auto"/>
            </w:pPr>
            <w:r/>
            <w:r>
              <w:rPr>
                <w:rFonts w:ascii="Times New Roman" w:hAnsi="Times New Roman"/>
                <w:b w:val="0"/>
                <w:i w:val="0"/>
                <w:sz w:val="24"/>
              </w:rPr>
              <w:t>Copies of relevant orders referenced in this Motion</w:t>
            </w:r>
          </w:p>
        </w:tc>
        <w:tc>
          <w:tcPr>
            <w:tcW w:type="dxa" w:w="3120"/>
          </w:tcPr>
          <w:p>
            <w:pPr>
              <w:spacing w:line="240" w:lineRule="auto"/>
            </w:pPr>
            <w:r/>
            <w:r>
              <w:rPr>
                <w:rFonts w:ascii="Times New Roman" w:hAnsi="Times New Roman"/>
                <w:b w:val="0"/>
                <w:i w:val="0"/>
                <w:sz w:val="24"/>
              </w:rPr>
              <w:t>[VERIFY — compile]</w:t>
            </w:r>
          </w:p>
        </w:tc>
      </w:tr>
      <w:tr>
        <w:tc>
          <w:tcPr>
            <w:tcW w:type="dxa" w:w="3120"/>
          </w:tcPr>
          <w:p>
            <w:pPr>
              <w:spacing w:line="240" w:lineRule="auto"/>
            </w:pPr>
            <w:r/>
            <w:r>
              <w:rPr>
                <w:rFonts w:ascii="Times New Roman" w:hAnsi="Times New Roman"/>
                <w:b w:val="0"/>
                <w:i w:val="0"/>
                <w:sz w:val="24"/>
              </w:rPr>
              <w:t>J</w:t>
            </w:r>
          </w:p>
        </w:tc>
        <w:tc>
          <w:tcPr>
            <w:tcW w:type="dxa" w:w="3120"/>
          </w:tcPr>
          <w:p>
            <w:pPr>
              <w:spacing w:line="240" w:lineRule="auto"/>
            </w:pPr>
            <w:r/>
            <w:r>
              <w:rPr>
                <w:rFonts w:ascii="Times New Roman" w:hAnsi="Times New Roman"/>
                <w:b w:val="0"/>
                <w:i w:val="0"/>
                <w:sz w:val="24"/>
              </w:rPr>
              <w:t>Synthesis data summary (violation category analysis)</w:t>
            </w:r>
          </w:p>
        </w:tc>
        <w:tc>
          <w:tcPr>
            <w:tcW w:type="dxa" w:w="3120"/>
          </w:tcPr>
          <w:p>
            <w:pPr>
              <w:spacing w:line="240" w:lineRule="auto"/>
            </w:pPr>
            <w:r/>
            <w:r>
              <w:rPr>
                <w:rFonts w:ascii="Times New Roman" w:hAnsi="Times New Roman"/>
                <w:b w:val="0"/>
                <w:i w:val="0"/>
                <w:sz w:val="24"/>
              </w:rPr>
              <w:t>[VERIFY — include relevant portions of synthesis]</w:t>
            </w:r>
          </w:p>
        </w:tc>
      </w:tr>
    </w:tbl>
    <w:p>
      <w:pPr>
        <w:pStyle w:val="Heading2"/>
      </w:pPr>
      <w:r>
        <w:rPr>
          <w:rFonts w:ascii="Times New Roman" w:hAnsi="Times New Roman"/>
        </w:rPr>
        <w:t>APPENDIX: AUTHORITIES CITED</w:t>
      </w:r>
    </w:p>
    <w:p>
      <w:pPr>
        <w:pStyle w:val="Heading3"/>
      </w:pPr>
      <w:r>
        <w:rPr>
          <w:rFonts w:ascii="Times New Roman" w:hAnsi="Times New Roman"/>
        </w:rPr>
        <w:t>Michigan Court Rules</w:t>
      </w:r>
    </w:p>
    <w:p>
      <w:pPr>
        <w:spacing w:line="480" w:lineRule="auto" w:after="0" w:before="0"/>
      </w:pPr>
      <w:r>
        <w:rPr>
          <w:rFonts w:ascii="Times New Roman" w:hAnsi="Times New Roman"/>
          <w:b w:val="0"/>
          <w:i w:val="0"/>
          <w:sz w:val="24"/>
        </w:rPr>
        <w:t>- MCR 1.109(D)(3) — Verification and Declaration - MCR 2.003(C)(1) — Grounds for Disqualification: Bias or Prejudice - MCR 2.003(C)(1)(a) — Actual Bias or Prejudice - MCR 2.003(C)(1)(b) — Objective Appearance of Bias (</w:t>
      </w:r>
      <w:r>
        <w:rPr>
          <w:rFonts w:ascii="Times New Roman" w:hAnsi="Times New Roman"/>
          <w:b w:val="0"/>
          <w:i/>
          <w:sz w:val="24"/>
        </w:rPr>
        <w:t>Caperton</w:t>
      </w:r>
      <w:r>
        <w:rPr>
          <w:rFonts w:ascii="Times New Roman" w:hAnsi="Times New Roman"/>
          <w:b w:val="0"/>
          <w:i w:val="0"/>
          <w:sz w:val="24"/>
        </w:rPr>
        <w:t xml:space="preserve"> Standard) - MCR 2.003(D) — Procedure for Disqualification - MCR 2.003(D)(1) — Filing Requirements - MCR 2.003(D)(1)(a) — Verification Requirement - MCR 2.003(D)(3) — Decision by Challenged Judge - MCR 2.003(D)(3)(a) — De Novo Review by Another Judge - MCR 2.107 — Service of Process - MCR 2.114(B) — Sanctions for Frivolous Filings - MCR 2.119 — Motion Practice - MCR 3.207(B) — Domestic Relations Procedures</w:t>
      </w:r>
    </w:p>
    <w:p>
      <w:pPr>
        <w:pStyle w:val="Heading3"/>
      </w:pPr>
      <w:r>
        <w:rPr>
          <w:rFonts w:ascii="Times New Roman" w:hAnsi="Times New Roman"/>
        </w:rPr>
        <w:t>Michigan Compiled Laws</w:t>
      </w:r>
    </w:p>
    <w:p>
      <w:pPr>
        <w:spacing w:line="480" w:lineRule="auto" w:after="0" w:before="0"/>
      </w:pPr>
      <w:r>
        <w:rPr>
          <w:rFonts w:ascii="Times New Roman" w:hAnsi="Times New Roman"/>
          <w:b w:val="0"/>
          <w:i w:val="0"/>
          <w:sz w:val="24"/>
        </w:rPr>
        <w:t xml:space="preserve">- MCL 552.603 — Child Support - MCL 552.605 — Support Enforcement - MCL 600.308 — Jurisdiction - MCL 600.5701 — Circuit Court Jurisdiction - MCL 600.5701 — Contempt of Court - MCL 600.5701 — Frivolous Actions - MCL 722.23 </w:t>
      </w:r>
      <w:r>
        <w:rPr>
          <w:rFonts w:ascii="Times New Roman" w:hAnsi="Times New Roman"/>
          <w:b w:val="0"/>
          <w:i/>
          <w:sz w:val="24"/>
        </w:rPr>
        <w:t>et seq.</w:t>
      </w:r>
      <w:r>
        <w:rPr>
          <w:rFonts w:ascii="Times New Roman" w:hAnsi="Times New Roman"/>
          <w:b w:val="0"/>
          <w:i w:val="0"/>
          <w:sz w:val="24"/>
        </w:rPr>
        <w:t xml:space="preserve"> — Child Custody Act - MCL 722.23 — Best Interest Factors - MCL 722.23 — Love, Affection, Emotional Ties - MCL 722.27a — Capacity to Provide - MCL 722.23 — Moral Fitness - MCL 722.23 — Willingness to Facilitate - MCL 722.23 — Domestic Violence - MCL 722.27a — Custody Modification - MCL 722.27a — Proper Cause/Change of Circumstances - MCL 722.27a — Parenting Time - MCL 722.27a(7) — Restriction of Parenting Time - MCL 750.423 — Perjury</w:t>
      </w:r>
    </w:p>
    <w:p>
      <w:pPr>
        <w:pStyle w:val="Heading3"/>
      </w:pPr>
      <w:r>
        <w:rPr>
          <w:rFonts w:ascii="Times New Roman" w:hAnsi="Times New Roman"/>
        </w:rPr>
        <w:t>Michigan Supreme Court Cases</w:t>
      </w:r>
    </w:p>
    <w:p>
      <w:pPr>
        <w:spacing w:line="480" w:lineRule="auto" w:after="0" w:before="0"/>
      </w:pPr>
      <w:r>
        <w:rPr>
          <w:rFonts w:ascii="Times New Roman" w:hAnsi="Times New Roman"/>
          <w:b w:val="0"/>
          <w:i w:val="0"/>
          <w:sz w:val="24"/>
        </w:rPr>
        <w:t xml:space="preserve">- </w:t>
      </w:r>
      <w:r>
        <w:rPr>
          <w:rFonts w:ascii="Times New Roman" w:hAnsi="Times New Roman"/>
          <w:b w:val="0"/>
          <w:i/>
          <w:sz w:val="24"/>
        </w:rPr>
        <w:t>Cain v. Dep't of Corrections</w:t>
      </w:r>
      <w:r>
        <w:rPr>
          <w:rFonts w:ascii="Times New Roman" w:hAnsi="Times New Roman"/>
          <w:b w:val="0"/>
          <w:i w:val="0"/>
          <w:sz w:val="24"/>
        </w:rPr>
        <w:t xml:space="preserve">, 451 Mich 470 (1996) - </w:t>
      </w:r>
      <w:r>
        <w:rPr>
          <w:rFonts w:ascii="Times New Roman" w:hAnsi="Times New Roman"/>
          <w:b w:val="0"/>
          <w:i/>
          <w:sz w:val="24"/>
        </w:rPr>
        <w:t>Crampton v. Dep't of State</w:t>
      </w:r>
      <w:r>
        <w:rPr>
          <w:rFonts w:ascii="Times New Roman" w:hAnsi="Times New Roman"/>
          <w:b w:val="0"/>
          <w:i w:val="0"/>
          <w:sz w:val="24"/>
        </w:rPr>
        <w:t xml:space="preserve">, 395 Mich 347 (1975) - </w:t>
      </w:r>
      <w:r>
        <w:rPr>
          <w:rFonts w:ascii="Times New Roman" w:hAnsi="Times New Roman"/>
          <w:b w:val="0"/>
          <w:i/>
          <w:sz w:val="24"/>
        </w:rPr>
        <w:t>Fletcher v. Fletcher</w:t>
      </w:r>
      <w:r>
        <w:rPr>
          <w:rFonts w:ascii="Times New Roman" w:hAnsi="Times New Roman"/>
          <w:b w:val="0"/>
          <w:i w:val="0"/>
          <w:sz w:val="24"/>
        </w:rPr>
        <w:t xml:space="preserve">, 447 Mich 871 (1994) - </w:t>
      </w:r>
      <w:r>
        <w:rPr>
          <w:rFonts w:ascii="Times New Roman" w:hAnsi="Times New Roman"/>
          <w:b w:val="0"/>
          <w:i/>
          <w:sz w:val="24"/>
        </w:rPr>
        <w:t>Pierron v. Pierron</w:t>
      </w:r>
      <w:r>
        <w:rPr>
          <w:rFonts w:ascii="Times New Roman" w:hAnsi="Times New Roman"/>
          <w:b w:val="0"/>
          <w:i w:val="0"/>
          <w:sz w:val="24"/>
        </w:rPr>
        <w:t>, 486 Mich 81 (2010)</w:t>
      </w:r>
    </w:p>
    <w:p>
      <w:pPr>
        <w:pStyle w:val="Heading3"/>
      </w:pPr>
      <w:r>
        <w:rPr>
          <w:rFonts w:ascii="Times New Roman" w:hAnsi="Times New Roman"/>
        </w:rPr>
        <w:t>Michigan Court of Appeals Cases</w:t>
      </w:r>
    </w:p>
    <w:p>
      <w:pPr>
        <w:spacing w:line="480" w:lineRule="auto" w:after="0" w:before="0"/>
      </w:pPr>
      <w:r>
        <w:rPr>
          <w:rFonts w:ascii="Times New Roman" w:hAnsi="Times New Roman"/>
          <w:b w:val="0"/>
          <w:i w:val="0"/>
          <w:sz w:val="24"/>
        </w:rPr>
        <w:t xml:space="preserve">- </w:t>
      </w:r>
      <w:r>
        <w:rPr>
          <w:rFonts w:ascii="Times New Roman" w:hAnsi="Times New Roman"/>
          <w:b w:val="0"/>
          <w:i/>
          <w:sz w:val="24"/>
        </w:rPr>
        <w:t>Armstrong v. Ypsilanti Charter Twp</w:t>
      </w:r>
      <w:r>
        <w:rPr>
          <w:rFonts w:ascii="Times New Roman" w:hAnsi="Times New Roman"/>
          <w:b w:val="0"/>
          <w:i w:val="0"/>
          <w:sz w:val="24"/>
        </w:rPr>
        <w:t xml:space="preserve">, 248 Mich App 573 (2001) - </w:t>
      </w:r>
      <w:r>
        <w:rPr>
          <w:rFonts w:ascii="Times New Roman" w:hAnsi="Times New Roman"/>
          <w:b w:val="0"/>
          <w:i/>
          <w:sz w:val="24"/>
        </w:rPr>
        <w:t>Gates v. Gates</w:t>
      </w:r>
      <w:r>
        <w:rPr>
          <w:rFonts w:ascii="Times New Roman" w:hAnsi="Times New Roman"/>
          <w:b w:val="0"/>
          <w:i w:val="0"/>
          <w:sz w:val="24"/>
        </w:rPr>
        <w:t xml:space="preserve">, 256 Mich App 420 (2003) - </w:t>
      </w:r>
      <w:r>
        <w:rPr>
          <w:rFonts w:ascii="Times New Roman" w:hAnsi="Times New Roman"/>
          <w:b w:val="0"/>
          <w:i/>
          <w:sz w:val="24"/>
        </w:rPr>
        <w:t>In re MKK</w:t>
      </w:r>
      <w:r>
        <w:rPr>
          <w:rFonts w:ascii="Times New Roman" w:hAnsi="Times New Roman"/>
          <w:b w:val="0"/>
          <w:i w:val="0"/>
          <w:sz w:val="24"/>
        </w:rPr>
        <w:t xml:space="preserve">, 286 Mich App 546 (2009) - </w:t>
      </w:r>
      <w:r>
        <w:rPr>
          <w:rFonts w:ascii="Times New Roman" w:hAnsi="Times New Roman"/>
          <w:b w:val="0"/>
          <w:i/>
          <w:sz w:val="24"/>
        </w:rPr>
        <w:t>People v. Carson</w:t>
      </w:r>
      <w:r>
        <w:rPr>
          <w:rFonts w:ascii="Times New Roman" w:hAnsi="Times New Roman"/>
          <w:b w:val="0"/>
          <w:i w:val="0"/>
          <w:sz w:val="24"/>
        </w:rPr>
        <w:t xml:space="preserve">, 220 Mich App 662 (1996) - </w:t>
      </w:r>
      <w:r>
        <w:rPr>
          <w:rFonts w:ascii="Times New Roman" w:hAnsi="Times New Roman"/>
          <w:b w:val="0"/>
          <w:i/>
          <w:sz w:val="24"/>
        </w:rPr>
        <w:t>Shade v. Wright</w:t>
      </w:r>
      <w:r>
        <w:rPr>
          <w:rFonts w:ascii="Times New Roman" w:hAnsi="Times New Roman"/>
          <w:b w:val="0"/>
          <w:i w:val="0"/>
          <w:sz w:val="24"/>
        </w:rPr>
        <w:t xml:space="preserve">, 291 Mich App 17 (2010) - </w:t>
      </w:r>
      <w:r>
        <w:rPr>
          <w:rFonts w:ascii="Times New Roman" w:hAnsi="Times New Roman"/>
          <w:b w:val="0"/>
          <w:i/>
          <w:sz w:val="24"/>
        </w:rPr>
        <w:t>Vodvarka v. Grasmeyer</w:t>
      </w:r>
      <w:r>
        <w:rPr>
          <w:rFonts w:ascii="Times New Roman" w:hAnsi="Times New Roman"/>
          <w:b w:val="0"/>
          <w:i w:val="0"/>
          <w:sz w:val="24"/>
        </w:rPr>
        <w:t>, 259 Mich App 499 (2003)</w:t>
      </w:r>
    </w:p>
    <w:p>
      <w:pPr>
        <w:pStyle w:val="Heading3"/>
      </w:pPr>
      <w:r>
        <w:rPr>
          <w:rFonts w:ascii="Times New Roman" w:hAnsi="Times New Roman"/>
        </w:rPr>
        <w:t>United States Supreme Court Cases</w:t>
      </w:r>
    </w:p>
    <w:p>
      <w:pPr>
        <w:spacing w:line="480" w:lineRule="auto" w:after="0" w:before="0"/>
      </w:pPr>
      <w:r>
        <w:rPr>
          <w:rFonts w:ascii="Times New Roman" w:hAnsi="Times New Roman"/>
          <w:b w:val="0"/>
          <w:i w:val="0"/>
          <w:sz w:val="24"/>
        </w:rPr>
        <w:t xml:space="preserve">- </w:t>
      </w:r>
      <w:r>
        <w:rPr>
          <w:rFonts w:ascii="Times New Roman" w:hAnsi="Times New Roman"/>
          <w:b w:val="0"/>
          <w:i/>
          <w:sz w:val="24"/>
        </w:rPr>
        <w:t>Boddie v. Connecticut</w:t>
      </w:r>
      <w:r>
        <w:rPr>
          <w:rFonts w:ascii="Times New Roman" w:hAnsi="Times New Roman"/>
          <w:b w:val="0"/>
          <w:i w:val="0"/>
          <w:sz w:val="24"/>
        </w:rPr>
        <w:t xml:space="preserve">, 401 U.S. 371 (1971) - </w:t>
      </w:r>
      <w:r>
        <w:rPr>
          <w:rFonts w:ascii="Times New Roman" w:hAnsi="Times New Roman"/>
          <w:b w:val="0"/>
          <w:i/>
          <w:sz w:val="24"/>
        </w:rPr>
        <w:t>Caperton v. A.T. Massey Coal Co.</w:t>
      </w:r>
      <w:r>
        <w:rPr>
          <w:rFonts w:ascii="Times New Roman" w:hAnsi="Times New Roman"/>
          <w:b w:val="0"/>
          <w:i w:val="0"/>
          <w:sz w:val="24"/>
        </w:rPr>
        <w:t xml:space="preserve">, 556 U.S. 868 (2009) - </w:t>
      </w:r>
      <w:r>
        <w:rPr>
          <w:rFonts w:ascii="Times New Roman" w:hAnsi="Times New Roman"/>
          <w:b w:val="0"/>
          <w:i/>
          <w:sz w:val="24"/>
        </w:rPr>
        <w:t>Mathews v. Eldridge</w:t>
      </w:r>
      <w:r>
        <w:rPr>
          <w:rFonts w:ascii="Times New Roman" w:hAnsi="Times New Roman"/>
          <w:b w:val="0"/>
          <w:i w:val="0"/>
          <w:sz w:val="24"/>
        </w:rPr>
        <w:t xml:space="preserve">, 424 U.S. 319 (1976) - </w:t>
      </w:r>
      <w:r>
        <w:rPr>
          <w:rFonts w:ascii="Times New Roman" w:hAnsi="Times New Roman"/>
          <w:b w:val="0"/>
          <w:i/>
          <w:sz w:val="24"/>
        </w:rPr>
        <w:t>Santosky v. Kramer</w:t>
      </w:r>
      <w:r>
        <w:rPr>
          <w:rFonts w:ascii="Times New Roman" w:hAnsi="Times New Roman"/>
          <w:b w:val="0"/>
          <w:i w:val="0"/>
          <w:sz w:val="24"/>
        </w:rPr>
        <w:t xml:space="preserve">, 455 U.S. 745 (1982) - </w:t>
      </w:r>
      <w:r>
        <w:rPr>
          <w:rFonts w:ascii="Times New Roman" w:hAnsi="Times New Roman"/>
          <w:b w:val="0"/>
          <w:i/>
          <w:sz w:val="24"/>
        </w:rPr>
        <w:t>Troxel v. Granville</w:t>
      </w:r>
      <w:r>
        <w:rPr>
          <w:rFonts w:ascii="Times New Roman" w:hAnsi="Times New Roman"/>
          <w:b w:val="0"/>
          <w:i w:val="0"/>
          <w:sz w:val="24"/>
        </w:rPr>
        <w:t>, 530 U.S. 57 (2000)</w:t>
      </w:r>
    </w:p>
    <w:p>
      <w:r>
        <w:br w:type="page"/>
      </w:r>
    </w:p>
    <w:p>
      <w:pPr>
        <w:spacing w:line="480" w:lineRule="auto" w:after="0" w:before="0"/>
      </w:pPr>
      <w:r>
        <w:rPr>
          <w:rFonts w:ascii="Times New Roman" w:hAnsi="Times New Roman"/>
          <w:b w:val="0"/>
          <w:i/>
          <w:sz w:val="24"/>
        </w:rPr>
        <w:t>Respectfully submitted,</w:t>
      </w:r>
    </w:p>
    <w:p>
      <w:pPr>
        <w:spacing w:line="480" w:lineRule="auto" w:after="0" w:before="0"/>
      </w:pPr>
      <w:r>
        <w:rPr>
          <w:rFonts w:ascii="Times New Roman" w:hAnsi="Times New Roman"/>
          <w:b w:val="0"/>
          <w:i w:val="0"/>
          <w:sz w:val="24"/>
        </w:rPr>
        <w:t>Date: ___________________________</w:t>
      </w:r>
    </w:p>
    <w:p>
      <w:r>
        <w:br w:type="page"/>
      </w:r>
    </w:p>
    <w:p>
      <w:pPr>
        <w:spacing w:line="480" w:lineRule="auto" w:after="0" w:before="0"/>
      </w:pPr>
      <w:r>
        <w:rPr>
          <w:rFonts w:ascii="Times New Roman" w:hAnsi="Times New Roman"/>
          <w:b/>
          <w:i w:val="0"/>
          <w:sz w:val="24"/>
        </w:rPr>
        <w:t>ANDREW J. PIGORS</w:t>
      </w:r>
      <w:r>
        <w:rPr>
          <w:rFonts w:ascii="Times New Roman" w:hAnsi="Times New Roman"/>
          <w:b w:val="0"/>
          <w:i w:val="0"/>
          <w:sz w:val="24"/>
        </w:rPr>
        <w:t xml:space="preserve"> Plaintiff/Father, </w:t>
      </w:r>
      <w:r>
        <w:rPr>
          <w:rFonts w:ascii="Times New Roman" w:hAnsi="Times New Roman"/>
          <w:b w:val="0"/>
          <w:i/>
          <w:sz w:val="24"/>
        </w:rPr>
        <w:t>Pro Se</w:t>
      </w:r>
      <w:r>
        <w:rPr>
          <w:rFonts w:ascii="Times New Roman" w:hAnsi="Times New Roman"/>
          <w:b w:val="0"/>
          <w:i w:val="0"/>
          <w:sz w:val="24"/>
        </w:rPr>
        <w:t xml:space="preserve"> [VERIFY — Full Address] [VERIFY — Phone Number] [VERIFY — Email Address]</w:t>
      </w:r>
    </w:p>
    <w:p>
      <w:r>
        <w:br w:type="page"/>
      </w:r>
    </w:p>
    <w:p>
      <w:pPr>
        <w:spacing w:line="480" w:lineRule="auto" w:after="0" w:before="0"/>
      </w:pPr>
      <w:r>
        <w:rPr>
          <w:rFonts w:ascii="Times New Roman" w:hAnsi="Times New Roman"/>
          <w:b/>
          <w:i w:val="0"/>
          <w:sz w:val="24"/>
        </w:rPr>
        <w:t>NOTICE:</w:t>
      </w:r>
      <w:r>
        <w:rPr>
          <w:rFonts w:ascii="Times New Roman" w:hAnsi="Times New Roman"/>
          <w:b w:val="0"/>
          <w:i w:val="0"/>
          <w:sz w:val="24"/>
        </w:rPr>
        <w:t xml:space="preserve"> This document was prepared with the assistance of automated synthesis tools for evidence compilation and legal research. All factual assertions tagged </w:t>
      </w:r>
      <w:r>
        <w:rPr>
          <w:rFonts w:ascii="Times New Roman" w:hAnsi="Times New Roman"/>
          <w:b/>
          <w:i w:val="0"/>
          <w:sz w:val="24"/>
        </w:rPr>
        <w:t>[VERIFY]</w:t>
      </w:r>
      <w:r>
        <w:rPr>
          <w:rFonts w:ascii="Times New Roman" w:hAnsi="Times New Roman"/>
          <w:b w:val="0"/>
          <w:i w:val="0"/>
          <w:sz w:val="24"/>
        </w:rPr>
        <w:t xml:space="preserve"> require independent confirmation by the Movant against the filed court record prior to filing. Movant assumes full responsibility for the accuracy of all statements upon execution of the Verification.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