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34CDB" w14:textId="77777777" w:rsidR="001A7C32" w:rsidRDefault="001A7C32" w:rsidP="00131DFB">
      <w:pPr>
        <w:spacing w:before="100" w:beforeAutospacing="1" w:after="100" w:afterAutospacing="1" w:line="240" w:lineRule="auto"/>
        <w:outlineLvl w:val="1"/>
        <w:rPr>
          <w:b/>
          <w:bCs/>
          <w:u w:val="single"/>
        </w:rPr>
      </w:pPr>
    </w:p>
    <w:p w14:paraId="5B295076" w14:textId="375F8DB3" w:rsidR="001A7C32" w:rsidRPr="00095A10" w:rsidRDefault="00AC0AA9" w:rsidP="00D06B4D">
      <w:pPr>
        <w:pStyle w:val="Heading2"/>
        <w:jc w:val="center"/>
        <w:rPr>
          <w:b/>
          <w:bCs/>
        </w:rPr>
      </w:pPr>
      <w:r w:rsidRPr="00095A10">
        <w:rPr>
          <w:b/>
          <w:bCs/>
        </w:rPr>
        <w:t>14</w:t>
      </w:r>
      <w:r w:rsidRPr="00095A10">
        <w:rPr>
          <w:b/>
          <w:bCs/>
          <w:vertAlign w:val="superscript"/>
        </w:rPr>
        <w:t>th</w:t>
      </w:r>
      <w:r w:rsidRPr="00095A10">
        <w:rPr>
          <w:b/>
          <w:bCs/>
        </w:rPr>
        <w:t xml:space="preserve"> Circuit Court Muskegon County Michigan</w:t>
      </w:r>
    </w:p>
    <w:p w14:paraId="10F6ED16" w14:textId="3091628F" w:rsidR="005B35EC" w:rsidRPr="00654A70" w:rsidRDefault="005B35EC" w:rsidP="00D06B4D">
      <w:pPr>
        <w:pStyle w:val="Heading2"/>
        <w:jc w:val="center"/>
        <w:rPr>
          <w:b/>
          <w:bCs/>
          <w:sz w:val="28"/>
          <w:szCs w:val="28"/>
        </w:rPr>
      </w:pPr>
      <w:r w:rsidRPr="00654A70">
        <w:rPr>
          <w:b/>
          <w:bCs/>
          <w:sz w:val="28"/>
          <w:szCs w:val="28"/>
        </w:rPr>
        <w:t xml:space="preserve">990 Terrace </w:t>
      </w:r>
      <w:r w:rsidR="003574B5" w:rsidRPr="00654A70">
        <w:rPr>
          <w:b/>
          <w:bCs/>
          <w:sz w:val="28"/>
          <w:szCs w:val="28"/>
        </w:rPr>
        <w:t>St</w:t>
      </w:r>
      <w:r w:rsidRPr="00654A70">
        <w:rPr>
          <w:b/>
          <w:bCs/>
          <w:sz w:val="28"/>
          <w:szCs w:val="28"/>
        </w:rPr>
        <w:t xml:space="preserve"> </w:t>
      </w:r>
      <w:r w:rsidR="00452C39" w:rsidRPr="00654A70">
        <w:rPr>
          <w:b/>
          <w:bCs/>
          <w:sz w:val="28"/>
          <w:szCs w:val="28"/>
        </w:rPr>
        <w:t>Muskegon MI 49442</w:t>
      </w:r>
    </w:p>
    <w:p w14:paraId="2DFA6171" w14:textId="7D55C47B" w:rsidR="00452C39" w:rsidRPr="00654A70" w:rsidRDefault="00452C39" w:rsidP="00D06B4D">
      <w:pPr>
        <w:pStyle w:val="Heading2"/>
        <w:jc w:val="center"/>
        <w:rPr>
          <w:color w:val="000000" w:themeColor="text1"/>
          <w:sz w:val="24"/>
          <w:szCs w:val="24"/>
        </w:rPr>
      </w:pPr>
      <w:r w:rsidRPr="00654A70">
        <w:rPr>
          <w:color w:val="000000" w:themeColor="text1"/>
          <w:sz w:val="24"/>
          <w:szCs w:val="24"/>
        </w:rPr>
        <w:t>Hon. Judge Jenny McNeill</w:t>
      </w:r>
    </w:p>
    <w:p w14:paraId="13580E7A" w14:textId="14B7904C" w:rsidR="00452C39" w:rsidRPr="00000E21" w:rsidRDefault="00452C39" w:rsidP="00D06B4D">
      <w:pPr>
        <w:pStyle w:val="Heading2"/>
        <w:jc w:val="center"/>
        <w:rPr>
          <w:sz w:val="20"/>
          <w:szCs w:val="20"/>
        </w:rPr>
      </w:pPr>
      <w:r w:rsidRPr="00000E21">
        <w:rPr>
          <w:sz w:val="20"/>
          <w:szCs w:val="20"/>
        </w:rPr>
        <w:t>Case</w:t>
      </w:r>
      <w:r w:rsidR="00556C4C" w:rsidRPr="00000E21">
        <w:rPr>
          <w:sz w:val="20"/>
          <w:szCs w:val="20"/>
        </w:rPr>
        <w:t># 2024-001507-DC</w:t>
      </w:r>
    </w:p>
    <w:p w14:paraId="28C7DA92" w14:textId="11F0835C" w:rsidR="005B35EC" w:rsidRPr="00095A10" w:rsidRDefault="00000E21" w:rsidP="00F823A2">
      <w:pPr>
        <w:pStyle w:val="NoSpacing"/>
        <w:rPr>
          <w:i/>
          <w:iCs/>
        </w:rPr>
      </w:pPr>
      <w:r w:rsidRPr="004236C0">
        <w:rPr>
          <w:b/>
          <w:bCs/>
        </w:rPr>
        <w:t xml:space="preserve">Andrew J </w:t>
      </w:r>
      <w:proofErr w:type="spellStart"/>
      <w:r w:rsidRPr="004236C0">
        <w:rPr>
          <w:b/>
          <w:bCs/>
        </w:rPr>
        <w:t>Pigors</w:t>
      </w:r>
      <w:proofErr w:type="spellEnd"/>
      <w:r w:rsidR="00095A10">
        <w:rPr>
          <w:b/>
          <w:bCs/>
        </w:rPr>
        <w:t>-</w:t>
      </w:r>
      <w:r w:rsidR="00095A10">
        <w:rPr>
          <w:i/>
          <w:iCs/>
        </w:rPr>
        <w:t>Plaintiff</w:t>
      </w:r>
    </w:p>
    <w:p w14:paraId="19CB8445" w14:textId="2F9E03F0" w:rsidR="00F823A2" w:rsidRDefault="00F823A2" w:rsidP="00F823A2">
      <w:pPr>
        <w:pStyle w:val="NoSpacing"/>
      </w:pPr>
      <w:r>
        <w:t xml:space="preserve">1977 Whitehall Rd </w:t>
      </w:r>
      <w:proofErr w:type="spellStart"/>
      <w:r>
        <w:t>Trlr</w:t>
      </w:r>
      <w:proofErr w:type="spellEnd"/>
      <w:r>
        <w:t xml:space="preserve"> 17</w:t>
      </w:r>
    </w:p>
    <w:p w14:paraId="0250CF24" w14:textId="4BF952DB" w:rsidR="00F823A2" w:rsidRDefault="00F823A2" w:rsidP="00F823A2">
      <w:pPr>
        <w:pStyle w:val="NoSpacing"/>
      </w:pPr>
      <w:r>
        <w:t>Muskegon MI 49445</w:t>
      </w:r>
    </w:p>
    <w:p w14:paraId="2BBC150F" w14:textId="418E7D49" w:rsidR="00F823A2" w:rsidRDefault="00F823A2" w:rsidP="00F823A2">
      <w:pPr>
        <w:pStyle w:val="NoSpacing"/>
      </w:pPr>
      <w:r>
        <w:t>231-903-5690</w:t>
      </w:r>
    </w:p>
    <w:p w14:paraId="067124A8" w14:textId="6E694D24" w:rsidR="004236C0" w:rsidRDefault="004236C0" w:rsidP="00F823A2">
      <w:pPr>
        <w:pStyle w:val="NoSpacing"/>
      </w:pPr>
      <w:r>
        <w:t>andrewjpigors@gmail.com</w:t>
      </w:r>
    </w:p>
    <w:p w14:paraId="291E172E" w14:textId="77777777" w:rsidR="00542132" w:rsidRDefault="00000E21" w:rsidP="007F3386">
      <w:pPr>
        <w:pStyle w:val="NoSpacing"/>
      </w:pPr>
      <w:r>
        <w:t xml:space="preserve">            Vs</w:t>
      </w:r>
    </w:p>
    <w:p w14:paraId="76EB6713" w14:textId="6D521645" w:rsidR="00000E21" w:rsidRPr="00542132" w:rsidRDefault="00542132" w:rsidP="007F3386">
      <w:pPr>
        <w:pStyle w:val="NoSpacing"/>
      </w:pPr>
      <w:r>
        <w:t>E</w:t>
      </w:r>
      <w:r w:rsidR="00000E21" w:rsidRPr="004236C0">
        <w:t>mily Watson</w:t>
      </w:r>
      <w:r>
        <w:t>-</w:t>
      </w:r>
      <w:r>
        <w:rPr>
          <w:i/>
          <w:iCs/>
        </w:rPr>
        <w:t>Defendant</w:t>
      </w:r>
    </w:p>
    <w:p w14:paraId="248BD7BD" w14:textId="4A7E516B" w:rsidR="004236C0" w:rsidRDefault="004236C0" w:rsidP="007F3386">
      <w:pPr>
        <w:pStyle w:val="NoSpacing"/>
      </w:pPr>
      <w:r>
        <w:t xml:space="preserve">2160 Garland </w:t>
      </w:r>
      <w:proofErr w:type="spellStart"/>
      <w:r>
        <w:t>Dr</w:t>
      </w:r>
      <w:proofErr w:type="spellEnd"/>
      <w:r>
        <w:t xml:space="preserve"> </w:t>
      </w:r>
    </w:p>
    <w:p w14:paraId="6DADF975" w14:textId="3BA1EEF1" w:rsidR="004236C0" w:rsidRDefault="004236C0" w:rsidP="007F3386">
      <w:pPr>
        <w:pStyle w:val="NoSpacing"/>
      </w:pPr>
      <w:r>
        <w:t>Norton Shores MI 49441</w:t>
      </w:r>
    </w:p>
    <w:p w14:paraId="3318939A" w14:textId="245B2B74" w:rsidR="004236C0" w:rsidRDefault="007F3386" w:rsidP="007F3386">
      <w:pPr>
        <w:pStyle w:val="NoSpacing"/>
      </w:pPr>
      <w:r>
        <w:t>231-683-7107</w:t>
      </w:r>
    </w:p>
    <w:p w14:paraId="5C8F370B" w14:textId="45DAFF18" w:rsidR="007F3386" w:rsidRPr="004236C0" w:rsidRDefault="007F3386" w:rsidP="007F3386">
      <w:pPr>
        <w:pStyle w:val="NoSpacing"/>
      </w:pPr>
      <w:r>
        <w:t>Watsone104@msn.com</w:t>
      </w:r>
    </w:p>
    <w:p w14:paraId="230BFAA5" w14:textId="5B00951C" w:rsidR="00131DFB" w:rsidRPr="001A7C32" w:rsidRDefault="00131DFB" w:rsidP="00AC0AA9">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14:ligatures w14:val="none"/>
        </w:rPr>
      </w:pPr>
      <w:r w:rsidRPr="001A7C32">
        <w:rPr>
          <w:b/>
          <w:bCs/>
          <w:u w:val="single"/>
        </w:rPr>
        <w:t>PROPOSED ORDER</w:t>
      </w:r>
    </w:p>
    <w:p w14:paraId="1D9B3DFF" w14:textId="77777777" w:rsidR="00131DFB" w:rsidRPr="00131DFB" w:rsidRDefault="00131DFB" w:rsidP="00131DFB">
      <w:pPr>
        <w:spacing w:before="100" w:beforeAutospacing="1" w:after="100" w:afterAutospacing="1" w:line="240" w:lineRule="auto"/>
        <w:rPr>
          <w:rFonts w:ascii="Times New Roman" w:eastAsia="Times New Roman" w:hAnsi="Times New Roman" w:cs="Times New Roman"/>
          <w:kern w:val="0"/>
          <w14:ligatures w14:val="none"/>
        </w:rPr>
      </w:pPr>
      <w:r>
        <w:t>This matter having come before the Court on Plaintiff Andrew J. Pigors’ Motion for Relief from Judgment, and the Court being fully advised in the premises:</w:t>
      </w:r>
    </w:p>
    <w:p w14:paraId="67A61FFF" w14:textId="77777777" w:rsidR="00131DFB" w:rsidRPr="00131DFB" w:rsidRDefault="00131DFB" w:rsidP="00131DFB">
      <w:pPr>
        <w:spacing w:before="100" w:beforeAutospacing="1" w:after="100" w:afterAutospacing="1" w:line="240" w:lineRule="auto"/>
        <w:rPr>
          <w:rFonts w:ascii="Times New Roman" w:eastAsia="Times New Roman" w:hAnsi="Times New Roman" w:cs="Times New Roman"/>
          <w:kern w:val="0"/>
          <w14:ligatures w14:val="none"/>
        </w:rPr>
      </w:pPr>
      <w:r>
        <w:t>IT IS HEREBY ORDERED:</w:t>
      </w:r>
    </w:p>
    <w:p w14:paraId="6B267AF6"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C32">
        <w:rPr>
          <w:b/>
          <w:bCs/>
        </w:rPr>
        <w:t>New Trial Granted</w:t>
      </w:r>
      <w:r>
        <w:t>:</w:t>
      </w:r>
      <w:r>
        <w:br/>
        <w:t>A new trial is granted to address the issues raised in Plaintiff's Motion for Relief from Judgment, including the errors and newly discovered evidence impacting the custody and support arrangements. This request is made in accordance with *Vodvarka v. Grasmeyer* (259 Mich. App. 499), which allows for a trial based on significant changes in circumstances or newly discovered evidence.</w:t>
      </w:r>
    </w:p>
    <w:p w14:paraId="3E481CD6"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C32">
        <w:rPr>
          <w:b/>
          <w:bCs/>
        </w:rPr>
        <w:t>Judgment Set Aside</w:t>
      </w:r>
      <w:r>
        <w:t>:</w:t>
      </w:r>
      <w:r>
        <w:br/>
        <w:t>The existing judgment in this case is set aside due to procedural errors, lack of consideration of critical evidence, and the demonstrated unfair advantage held by the Defendant. The decision is supported by *Shade v. Wright* (291 Mich. App. 17), which holds that custody modifications should focus on the child’s best interests, specifically MCL 722.23 factors.</w:t>
      </w:r>
    </w:p>
    <w:p w14:paraId="6F87261D"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7C32">
        <w:rPr>
          <w:b/>
          <w:bCs/>
        </w:rPr>
        <w:t>Child Support Payments Suspended:</w:t>
      </w:r>
      <w:r>
        <w:br/>
        <w:t>All child support arrears are removed, and future child support payments are suspended until a fair and just calculation can be made, taking into account all relevant financial information as per MCL 552.17 and MCR 3.211(D).</w:t>
      </w:r>
    </w:p>
    <w:p w14:paraId="2ECE27B7"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680">
        <w:rPr>
          <w:b/>
          <w:bCs/>
        </w:rPr>
        <w:lastRenderedPageBreak/>
        <w:t>Temporary Custodial Rights Order</w:t>
      </w:r>
      <w:r>
        <w:t>:</w:t>
      </w:r>
      <w:r>
        <w:br/>
        <w:t>A temporary custodial rights order is issued reflecting 50/50 joint physical and legal custody between the parties, Friday at 5:30 PM to Friday at 5:30 PM, following the court’s holiday schedule. The Court orders this under MCL 722.27 as it aligns with the best interests of the child (MCL 722.23).</w:t>
      </w:r>
    </w:p>
    <w:p w14:paraId="35D650A7"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680">
        <w:rPr>
          <w:b/>
          <w:bCs/>
        </w:rPr>
        <w:t>Review of Financial Disparity:</w:t>
      </w:r>
      <w:r>
        <w:br/>
        <w:t>The Court will review the financial disparity between the parties to ensure a fair outcome in any revised child support or custody arrangements, in compliance with MCR 3.206(C).</w:t>
      </w:r>
    </w:p>
    <w:p w14:paraId="79E0E0D8"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680">
        <w:rPr>
          <w:b/>
          <w:bCs/>
        </w:rPr>
        <w:t>Stay of Enforcement:</w:t>
      </w:r>
      <w:r w:rsidRPr="00555680">
        <w:rPr>
          <w:b/>
          <w:bCs/>
        </w:rPr>
        <w:br/>
      </w:r>
      <w:r>
        <w:t>A stay of enforcement is granted on all child support payments or arrears until the resolution of this matter, according to MCL 552.603.</w:t>
      </w:r>
    </w:p>
    <w:p w14:paraId="431EB7ED" w14:textId="77777777" w:rsidR="00131DFB" w:rsidRPr="00131DFB" w:rsidRDefault="00131DFB" w:rsidP="00131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5680">
        <w:rPr>
          <w:b/>
          <w:bCs/>
        </w:rPr>
        <w:t>Mediation or Parenting Time Evaluation:</w:t>
      </w:r>
      <w:r w:rsidRPr="00555680">
        <w:rPr>
          <w:b/>
          <w:bCs/>
        </w:rPr>
        <w:br/>
      </w:r>
      <w:r>
        <w:t>The Court orders a mediation session or a parenting time evaluation to assess the current parenting situation and make recommendations in the best interest of the minor child, as per MCL 722.27a.</w:t>
      </w:r>
    </w:p>
    <w:p w14:paraId="5D6D768C" w14:textId="77777777" w:rsidR="00322AE5" w:rsidRDefault="00131DFB" w:rsidP="00577A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31DFB">
        <w:rPr>
          <w:rFonts w:ascii="Times New Roman" w:eastAsia="Times New Roman" w:hAnsi="Times New Roman" w:cs="Times New Roman"/>
          <w:b/>
          <w:bCs/>
          <w:kern w:val="0"/>
          <w14:ligatures w14:val="none"/>
        </w:rPr>
        <w:t>Reopen Custody case 2024-001507-DC</w:t>
      </w:r>
      <w:r w:rsidRPr="00131DFB">
        <w:rPr>
          <w:rFonts w:ascii="Times New Roman" w:eastAsia="Times New Roman" w:hAnsi="Times New Roman" w:cs="Times New Roman"/>
          <w:kern w:val="0"/>
          <w14:ligatures w14:val="none"/>
        </w:rPr>
        <w:br/>
        <w:t>Reopen custody case 2024-001507-DC so that a new trial may be issued, and I may have my attorney present, to properly represent myself, and L</w:t>
      </w:r>
      <w:r w:rsidR="000B4A86">
        <w:rPr>
          <w:rFonts w:ascii="Times New Roman" w:eastAsia="Times New Roman" w:hAnsi="Times New Roman" w:cs="Times New Roman"/>
          <w:kern w:val="0"/>
          <w14:ligatures w14:val="none"/>
        </w:rPr>
        <w:t>DW</w:t>
      </w:r>
      <w:r w:rsidR="00322AE5">
        <w:rPr>
          <w:rFonts w:ascii="Times New Roman" w:eastAsia="Times New Roman" w:hAnsi="Times New Roman" w:cs="Times New Roman"/>
          <w:kern w:val="0"/>
          <w14:ligatures w14:val="none"/>
        </w:rPr>
        <w:t>’s</w:t>
      </w:r>
      <w:r w:rsidRPr="00131DFB">
        <w:rPr>
          <w:rFonts w:ascii="Times New Roman" w:eastAsia="Times New Roman" w:hAnsi="Times New Roman" w:cs="Times New Roman"/>
          <w:kern w:val="0"/>
          <w14:ligatures w14:val="none"/>
        </w:rPr>
        <w:t xml:space="preserve"> best interests. </w:t>
      </w:r>
    </w:p>
    <w:p w14:paraId="1552E3A2" w14:textId="24732E93" w:rsidR="00131DFB" w:rsidRPr="004A7ABF" w:rsidRDefault="00131DFB" w:rsidP="004A7A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w:t>
      </w:r>
      <w:r w:rsidRPr="00131DFB">
        <w:rPr>
          <w:rFonts w:ascii="Times New Roman" w:eastAsia="Times New Roman" w:hAnsi="Times New Roman" w:cs="Times New Roman"/>
          <w:b/>
          <w:bCs/>
          <w:kern w:val="0"/>
          <w14:ligatures w14:val="none"/>
        </w:rPr>
        <w:t>neral Relief:</w:t>
      </w:r>
      <w:r w:rsidRPr="00131DFB">
        <w:rPr>
          <w:rFonts w:ascii="Times New Roman" w:eastAsia="Times New Roman" w:hAnsi="Times New Roman" w:cs="Times New Roman"/>
          <w:kern w:val="0"/>
          <w14:ligatures w14:val="none"/>
        </w:rPr>
        <w:br/>
        <w:t>The Court may grant any other relief it deems just and appropriate under the circumstances.</w:t>
      </w:r>
      <w:r w:rsidR="00322AE5">
        <w:rPr>
          <w:rFonts w:ascii="Times New Roman" w:eastAsia="Times New Roman" w:hAnsi="Times New Roman" w:cs="Times New Roman"/>
          <w:kern w:val="0"/>
          <w14:ligatures w14:val="none"/>
        </w:rPr>
        <w:t xml:space="preserve"> Including but not limited to reimbursement for</w:t>
      </w:r>
      <w:r w:rsidR="00797D19">
        <w:rPr>
          <w:rFonts w:ascii="Times New Roman" w:eastAsia="Times New Roman" w:hAnsi="Times New Roman" w:cs="Times New Roman"/>
          <w:kern w:val="0"/>
          <w14:ligatures w14:val="none"/>
        </w:rPr>
        <w:t xml:space="preserve"> support payments </w:t>
      </w:r>
      <w:r w:rsidR="004A7ABF">
        <w:rPr>
          <w:rFonts w:ascii="Times New Roman" w:eastAsia="Times New Roman" w:hAnsi="Times New Roman" w:cs="Times New Roman"/>
          <w:kern w:val="0"/>
          <w14:ligatures w14:val="none"/>
        </w:rPr>
        <w:t xml:space="preserve">previously paid by me, the plaintiff, </w:t>
      </w:r>
      <w:r w:rsidR="00322AE5" w:rsidRPr="004A7ABF">
        <w:rPr>
          <w:rFonts w:ascii="Times New Roman" w:eastAsia="Times New Roman" w:hAnsi="Times New Roman" w:cs="Times New Roman"/>
          <w:kern w:val="0"/>
          <w14:ligatures w14:val="none"/>
        </w:rPr>
        <w:t>incurred court costs</w:t>
      </w:r>
      <w:r w:rsidR="006872D2" w:rsidRPr="004A7ABF">
        <w:rPr>
          <w:rFonts w:ascii="Times New Roman" w:eastAsia="Times New Roman" w:hAnsi="Times New Roman" w:cs="Times New Roman"/>
          <w:kern w:val="0"/>
          <w14:ligatures w14:val="none"/>
        </w:rPr>
        <w:t xml:space="preserve"> pertinent to</w:t>
      </w:r>
      <w:r w:rsidR="00322AE5" w:rsidRPr="004A7ABF">
        <w:rPr>
          <w:rFonts w:ascii="Times New Roman" w:eastAsia="Times New Roman" w:hAnsi="Times New Roman" w:cs="Times New Roman"/>
          <w:kern w:val="0"/>
          <w14:ligatures w14:val="none"/>
        </w:rPr>
        <w:t xml:space="preserve"> document preparation, </w:t>
      </w:r>
      <w:r w:rsidR="001F420B" w:rsidRPr="004A7ABF">
        <w:rPr>
          <w:rFonts w:ascii="Times New Roman" w:eastAsia="Times New Roman" w:hAnsi="Times New Roman" w:cs="Times New Roman"/>
          <w:kern w:val="0"/>
          <w14:ligatures w14:val="none"/>
        </w:rPr>
        <w:t xml:space="preserve">time, </w:t>
      </w:r>
      <w:r w:rsidR="006872D2" w:rsidRPr="004A7ABF">
        <w:rPr>
          <w:rFonts w:ascii="Times New Roman" w:eastAsia="Times New Roman" w:hAnsi="Times New Roman" w:cs="Times New Roman"/>
          <w:kern w:val="0"/>
          <w14:ligatures w14:val="none"/>
        </w:rPr>
        <w:t>attorney fees, and transportation costs.</w:t>
      </w:r>
    </w:p>
    <w:p w14:paraId="27F38C9A" w14:textId="77777777" w:rsidR="00131DFB" w:rsidRPr="00131DFB" w:rsidRDefault="00131DFB" w:rsidP="00131DFB">
      <w:pPr>
        <w:spacing w:before="100" w:beforeAutospacing="1" w:after="100" w:afterAutospacing="1" w:line="240" w:lineRule="auto"/>
        <w:rPr>
          <w:rFonts w:ascii="Times New Roman" w:eastAsia="Times New Roman" w:hAnsi="Times New Roman" w:cs="Times New Roman"/>
          <w:kern w:val="0"/>
          <w14:ligatures w14:val="none"/>
        </w:rPr>
      </w:pPr>
      <w:r w:rsidRPr="00131DFB">
        <w:rPr>
          <w:rFonts w:ascii="Times New Roman" w:eastAsia="Times New Roman" w:hAnsi="Times New Roman" w:cs="Times New Roman"/>
          <w:kern w:val="0"/>
          <w14:ligatures w14:val="none"/>
        </w:rPr>
        <w:t>IT IS SO ORDERED.</w:t>
      </w:r>
    </w:p>
    <w:p w14:paraId="4565C61D" w14:textId="77777777" w:rsidR="00131DFB" w:rsidRPr="00131DFB" w:rsidRDefault="000B4A86" w:rsidP="00131D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B4A86">
        <w:rPr>
          <w:rFonts w:ascii="Times New Roman" w:eastAsia="Times New Roman" w:hAnsi="Times New Roman" w:cs="Times New Roman"/>
          <w:noProof/>
          <w:kern w:val="0"/>
          <w14:ligatures w14:val="none"/>
        </w:rPr>
        <w:pict w14:anchorId="0E671136">
          <v:rect id="_x0000_i1025" style="width:0;height:1.5pt" o:hralign="center" o:hrstd="t" o:hr="t" fillcolor="#a0a0a0" stroked="f"/>
        </w:pict>
      </w:r>
    </w:p>
    <w:p w14:paraId="6C6E1C07" w14:textId="77777777" w:rsidR="00131DFB" w:rsidRPr="00131DFB" w:rsidRDefault="00131DFB" w:rsidP="00131DFB">
      <w:pPr>
        <w:spacing w:before="100" w:beforeAutospacing="1" w:after="100" w:afterAutospacing="1" w:line="240" w:lineRule="auto"/>
        <w:rPr>
          <w:rFonts w:ascii="Times New Roman" w:eastAsia="Times New Roman" w:hAnsi="Times New Roman" w:cs="Times New Roman"/>
          <w:kern w:val="0"/>
          <w14:ligatures w14:val="none"/>
        </w:rPr>
      </w:pPr>
      <w:r w:rsidRPr="00131DFB">
        <w:rPr>
          <w:rFonts w:ascii="Times New Roman" w:eastAsia="Times New Roman" w:hAnsi="Times New Roman" w:cs="Times New Roman"/>
          <w:b/>
          <w:bCs/>
          <w:kern w:val="0"/>
          <w14:ligatures w14:val="none"/>
        </w:rPr>
        <w:t>DATE:</w:t>
      </w:r>
      <w:r w:rsidRPr="00131DFB">
        <w:rPr>
          <w:rFonts w:ascii="Times New Roman" w:eastAsia="Times New Roman" w:hAnsi="Times New Roman" w:cs="Times New Roman"/>
          <w:kern w:val="0"/>
          <w14:ligatures w14:val="none"/>
        </w:rPr>
        <w:br/>
      </w:r>
      <w:r w:rsidRPr="00131DFB">
        <w:rPr>
          <w:rFonts w:ascii="Times New Roman" w:eastAsia="Times New Roman" w:hAnsi="Times New Roman" w:cs="Times New Roman"/>
          <w:b/>
          <w:bCs/>
          <w:kern w:val="0"/>
          <w14:ligatures w14:val="none"/>
        </w:rPr>
        <w:t>HON. JENNY MCNEILL</w:t>
      </w:r>
      <w:r w:rsidRPr="00131DFB">
        <w:rPr>
          <w:rFonts w:ascii="Times New Roman" w:eastAsia="Times New Roman" w:hAnsi="Times New Roman" w:cs="Times New Roman"/>
          <w:kern w:val="0"/>
          <w14:ligatures w14:val="none"/>
        </w:rPr>
        <w:br/>
      </w:r>
      <w:r w:rsidRPr="00131DFB">
        <w:rPr>
          <w:rFonts w:ascii="Times New Roman" w:eastAsia="Times New Roman" w:hAnsi="Times New Roman" w:cs="Times New Roman"/>
          <w:b/>
          <w:bCs/>
          <w:kern w:val="0"/>
          <w14:ligatures w14:val="none"/>
        </w:rPr>
        <w:t>Circuit Court Judge</w:t>
      </w:r>
    </w:p>
    <w:p w14:paraId="5A08DA78" w14:textId="77777777" w:rsidR="00131DFB" w:rsidRDefault="00131DFB"/>
    <w:sectPr w:rsidR="00131D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7B3BF" w14:textId="77777777" w:rsidR="0029136B" w:rsidRDefault="0029136B" w:rsidP="00AC5E7E">
      <w:pPr>
        <w:spacing w:after="0" w:line="240" w:lineRule="auto"/>
      </w:pPr>
      <w:r>
        <w:separator/>
      </w:r>
    </w:p>
  </w:endnote>
  <w:endnote w:type="continuationSeparator" w:id="0">
    <w:p w14:paraId="044170A4" w14:textId="77777777" w:rsidR="0029136B" w:rsidRDefault="0029136B" w:rsidP="00AC5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F7BE56" w14:textId="77777777" w:rsidR="0029136B" w:rsidRDefault="0029136B" w:rsidP="00AC5E7E">
      <w:pPr>
        <w:spacing w:after="0" w:line="240" w:lineRule="auto"/>
      </w:pPr>
      <w:r>
        <w:separator/>
      </w:r>
    </w:p>
  </w:footnote>
  <w:footnote w:type="continuationSeparator" w:id="0">
    <w:p w14:paraId="61C0F6A6" w14:textId="77777777" w:rsidR="0029136B" w:rsidRDefault="0029136B" w:rsidP="00AC5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D59CA"/>
    <w:multiLevelType w:val="multilevel"/>
    <w:tmpl w:val="EA046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46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FB"/>
    <w:rsid w:val="00000E21"/>
    <w:rsid w:val="00095A10"/>
    <w:rsid w:val="000B4A86"/>
    <w:rsid w:val="00131DFB"/>
    <w:rsid w:val="001A7C32"/>
    <w:rsid w:val="001F420B"/>
    <w:rsid w:val="0029136B"/>
    <w:rsid w:val="00310A45"/>
    <w:rsid w:val="00322AE5"/>
    <w:rsid w:val="003574B5"/>
    <w:rsid w:val="004236C0"/>
    <w:rsid w:val="00452C39"/>
    <w:rsid w:val="004A7ABF"/>
    <w:rsid w:val="005074C6"/>
    <w:rsid w:val="00535DF4"/>
    <w:rsid w:val="00542132"/>
    <w:rsid w:val="00555680"/>
    <w:rsid w:val="00556C4C"/>
    <w:rsid w:val="005B35EC"/>
    <w:rsid w:val="00654A70"/>
    <w:rsid w:val="006872D2"/>
    <w:rsid w:val="00797D19"/>
    <w:rsid w:val="007F3386"/>
    <w:rsid w:val="009A5C77"/>
    <w:rsid w:val="00AC0AA9"/>
    <w:rsid w:val="00AC5E7E"/>
    <w:rsid w:val="00D06B4D"/>
    <w:rsid w:val="00F8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FEC2"/>
  <w15:chartTrackingRefBased/>
  <w15:docId w15:val="{0EDE8621-DCAA-487D-BAE7-8402806A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FB"/>
    <w:rPr>
      <w:rFonts w:eastAsiaTheme="majorEastAsia" w:cstheme="majorBidi"/>
      <w:color w:val="272727" w:themeColor="text1" w:themeTint="D8"/>
    </w:rPr>
  </w:style>
  <w:style w:type="paragraph" w:styleId="Title">
    <w:name w:val="Title"/>
    <w:basedOn w:val="Normal"/>
    <w:next w:val="Normal"/>
    <w:link w:val="TitleChar"/>
    <w:uiPriority w:val="10"/>
    <w:qFormat/>
    <w:rsid w:val="0013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DFB"/>
    <w:pPr>
      <w:spacing w:before="160"/>
      <w:jc w:val="center"/>
    </w:pPr>
    <w:rPr>
      <w:i/>
      <w:iCs/>
      <w:color w:val="404040" w:themeColor="text1" w:themeTint="BF"/>
    </w:rPr>
  </w:style>
  <w:style w:type="character" w:customStyle="1" w:styleId="QuoteChar">
    <w:name w:val="Quote Char"/>
    <w:basedOn w:val="DefaultParagraphFont"/>
    <w:link w:val="Quote"/>
    <w:uiPriority w:val="29"/>
    <w:rsid w:val="00131DFB"/>
    <w:rPr>
      <w:i/>
      <w:iCs/>
      <w:color w:val="404040" w:themeColor="text1" w:themeTint="BF"/>
    </w:rPr>
  </w:style>
  <w:style w:type="paragraph" w:styleId="ListParagraph">
    <w:name w:val="List Paragraph"/>
    <w:basedOn w:val="Normal"/>
    <w:uiPriority w:val="34"/>
    <w:qFormat/>
    <w:rsid w:val="00131DFB"/>
    <w:pPr>
      <w:ind w:left="720"/>
      <w:contextualSpacing/>
    </w:pPr>
  </w:style>
  <w:style w:type="character" w:styleId="IntenseEmphasis">
    <w:name w:val="Intense Emphasis"/>
    <w:basedOn w:val="DefaultParagraphFont"/>
    <w:uiPriority w:val="21"/>
    <w:qFormat/>
    <w:rsid w:val="00131DFB"/>
    <w:rPr>
      <w:i/>
      <w:iCs/>
      <w:color w:val="0F4761" w:themeColor="accent1" w:themeShade="BF"/>
    </w:rPr>
  </w:style>
  <w:style w:type="paragraph" w:styleId="IntenseQuote">
    <w:name w:val="Intense Quote"/>
    <w:basedOn w:val="Normal"/>
    <w:next w:val="Normal"/>
    <w:link w:val="IntenseQuoteChar"/>
    <w:uiPriority w:val="30"/>
    <w:qFormat/>
    <w:rsid w:val="00131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DFB"/>
    <w:rPr>
      <w:i/>
      <w:iCs/>
      <w:color w:val="0F4761" w:themeColor="accent1" w:themeShade="BF"/>
    </w:rPr>
  </w:style>
  <w:style w:type="character" w:styleId="IntenseReference">
    <w:name w:val="Intense Reference"/>
    <w:basedOn w:val="DefaultParagraphFont"/>
    <w:uiPriority w:val="32"/>
    <w:qFormat/>
    <w:rsid w:val="00131DFB"/>
    <w:rPr>
      <w:b/>
      <w:bCs/>
      <w:smallCaps/>
      <w:color w:val="0F4761" w:themeColor="accent1" w:themeShade="BF"/>
      <w:spacing w:val="5"/>
    </w:rPr>
  </w:style>
  <w:style w:type="paragraph" w:styleId="NoSpacing">
    <w:name w:val="No Spacing"/>
    <w:uiPriority w:val="1"/>
    <w:qFormat/>
    <w:rsid w:val="00F823A2"/>
    <w:pPr>
      <w:spacing w:after="0" w:line="240" w:lineRule="auto"/>
    </w:pPr>
  </w:style>
  <w:style w:type="paragraph" w:styleId="FootnoteText">
    <w:name w:val="footnote text"/>
    <w:basedOn w:val="Normal"/>
    <w:link w:val="FootnoteTextChar"/>
    <w:uiPriority w:val="99"/>
    <w:semiHidden/>
    <w:unhideWhenUsed/>
    <w:rsid w:val="00AC5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5E7E"/>
    <w:rPr>
      <w:sz w:val="20"/>
      <w:szCs w:val="20"/>
    </w:rPr>
  </w:style>
  <w:style w:type="character" w:styleId="FootnoteReference">
    <w:name w:val="footnote reference"/>
    <w:basedOn w:val="DefaultParagraphFont"/>
    <w:uiPriority w:val="99"/>
    <w:semiHidden/>
    <w:unhideWhenUsed/>
    <w:rsid w:val="00AC5E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84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25</cp:revision>
  <dcterms:created xsi:type="dcterms:W3CDTF">2024-09-02T19:28:00Z</dcterms:created>
  <dcterms:modified xsi:type="dcterms:W3CDTF">2024-09-12T13:52:00Z</dcterms:modified>
</cp:coreProperties>
</file>