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of Michigan, 14th Circuit Court, Family Division</w:t>
      </w:r>
    </w:p>
    <w:p>
      <w:pPr>
        <w:pStyle w:val="Heading1"/>
      </w:pPr>
      <w:r>
        <w:t>Case No. 2024-001507-DC</w:t>
      </w:r>
    </w:p>
    <w:p>
      <w:pPr>
        <w:pStyle w:val="Heading2"/>
      </w:pPr>
      <w:r>
        <w:t>Andrew Pigors, Plaintiff</w:t>
      </w:r>
    </w:p>
    <w:p>
      <w:pPr>
        <w:pStyle w:val="Heading2"/>
      </w:pPr>
      <w:r>
        <w:t>v.</w:t>
      </w:r>
    </w:p>
    <w:p>
      <w:pPr>
        <w:pStyle w:val="Heading2"/>
      </w:pPr>
      <w:r>
        <w:t>Emily Watson, Defendant</w:t>
      </w:r>
    </w:p>
    <w:p>
      <w:pPr>
        <w:pStyle w:val="Heading3"/>
      </w:pPr>
      <w:r>
        <w:t>Motion to Reopen Custody Case</w:t>
      </w:r>
    </w:p>
    <w:p>
      <w:pPr>
        <w:pStyle w:val="Heading2"/>
      </w:pPr>
      <w:r>
        <w:t>Introduction</w:t>
      </w:r>
    </w:p>
    <w:p>
      <w:r>
        <w:t>Plaintiff respectfully requests that this Court reopen the existing custody case due to newly discovered evidence of parental alienation by Defendant and financial misrepresentation. This evidence directly impacts Lincoln’s well-being and supports the need for a reconsideration of custody arrangements.</w:t>
      </w:r>
    </w:p>
    <w:p>
      <w:pPr>
        <w:pStyle w:val="Heading2"/>
      </w:pPr>
      <w:r>
        <w:t>Factual Background</w:t>
      </w:r>
    </w:p>
    <w:p>
      <w:r>
        <w:t>Since the last custody order, Defendant has engaged in behavior that constitutes parental alienation, as well as financial misrepresentation. Plaintiff has recently obtained professional testimony from Dr. Samantha Ross, which details the emotional harm Lincoln is experiencing due to Defendant’s actions. Additionally, Defendant failed to disclose significant financial resources, which could impact child support and custody decisions.</w:t>
      </w:r>
    </w:p>
    <w:p>
      <w:pPr>
        <w:pStyle w:val="Heading2"/>
      </w:pPr>
      <w:r>
        <w:t>Legal Argument</w:t>
      </w:r>
    </w:p>
    <w:p>
      <w:r>
        <w:t>Pursuant to MCL 722.27(1)(c) and MCR 2.612, a custody case may be reopened if there is newly discovered evidence that could not have been presented during the original trial. The professional testimony and evidence of financial misrepresentation warrant a reconsideration of the custody arrangement to protect Lincoln’s best interests.</w:t>
      </w:r>
    </w:p>
    <w:p>
      <w:pPr>
        <w:pStyle w:val="Heading2"/>
      </w:pPr>
      <w:r>
        <w:t>Relief Requested</w:t>
      </w:r>
    </w:p>
    <w:p>
      <w:r>
        <w:t>Plaintiff respectfully requests that the Court reopen the custody case and reconsider the existing custody order in light of the new evidence presented.</w:t>
      </w:r>
    </w:p>
    <w:p>
      <w:pPr>
        <w:pStyle w:val="Heading2"/>
      </w:pPr>
      <w:r>
        <w:t>Exhibit References</w:t>
      </w:r>
    </w:p>
    <w:p>
      <w:r>
        <w:t>Exhibit B: Professional testimony from Dr. Samantha Ross, attesting to Lincoln's emotional distress caused by Defendant's behavior. Exhibit D: Evidence of Defendant’s undisclosed income, impacting both custody and child support arrangements.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