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MOTION FOR CUSTODY MODIFICATION - PART 3</w:t>
      </w:r>
    </w:p>
    <w:p>
      <w:r>
        <w:t>IV. LEGAL ANALYSIS</w:t>
      </w:r>
    </w:p>
    <w:p>
      <w:r>
        <w:t>1. Substantial changes in circumstances justify modifying custody under Michigan law, supported by substantial evidence of Respondent’s neglect and harm to LDW.</w:t>
        <w:br/>
        <w:t>2. Alignment with Best Interest Factors (MCL 722.23) demonstrates that Petitioner’s custody proposal better supports LDW’s health, stability, and future development.</w:t>
      </w:r>
    </w:p>
    <w:p>
      <w:r>
        <w:t>V. CONCLUSION</w:t>
      </w:r>
    </w:p>
    <w:p>
      <w:r>
        <w:t>Petitioner respectfully requests that the court grant the relief outlined above to ensure LDW’s best interests, safety, and long-term well-being. Immediate intervention is necessary to protect LDW from further harm caused by Respondent’s 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