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MOTION TO MODIFY CUSTODY, PARENTING TIME, AND FOR SANCTIONS</w:t>
      </w:r>
    </w:p>
    <w:p>
      <w:r>
        <w:t>NOW COMES Plaintiff, Andrew J. Pigors, in propria persona, and pursuant to MCL 722.27 and MCR 3.211(C),</w:t>
      </w:r>
    </w:p>
    <w:p>
      <w:r>
        <w:t>moves this Court to modify the existing custody and parenting time arrangement, restore 50/50 parenting time, and issue sanctions against Defendant Emily Watson for ongoing violations of court orders and statutory rights of the child and parent.</w:t>
      </w:r>
    </w:p>
    <w:p>
      <w:r>
        <w:t>FACTUAL BASIS: Plaintiff previously shared 50/50 parenting time. Defendant has repeatedly withheld parenting time without cause—March 26–May 2, 2024, October 20–November 15, 2024, and Easter 2025—causing harm to the child and violating MCL 722.23(j)(k).</w:t>
      </w:r>
    </w:p>
    <w:p>
      <w:r>
        <w:t>Plaintiff maintains an established custodial environment (ECE), and modification is in Lincoln’s best interest.</w:t>
      </w:r>
    </w:p>
    <w:p>
      <w:r>
        <w:t>LEGAL BASIS: Vodvarka v. Grasmeyer, 259 Mich App 499 (2003); Pierron v. Pierron, 486 Mich 81 (2010); MCL 722.27(1)(c).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