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PROPOSED ORDER</w:t>
      </w:r>
    </w:p>
    <w:p>
      <w:r>
        <w:t>IT IS HEREBY ORDERED that the Plaintiff’s Motion to Modify Custody and Parenting Time is GRANTED.</w:t>
      </w:r>
    </w:p>
    <w:p>
      <w:r>
        <w:t>Parenting Time shall be restored to a 50/50 shared schedule on a week-on/week-off basis.</w:t>
      </w:r>
    </w:p>
    <w:p>
      <w:r>
        <w:t>Defendant is sanctioned for obstruction of parenting time.</w:t>
      </w:r>
    </w:p>
    <w:p>
      <w:r>
        <w:t>SO ORDERED.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