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AUTHORITIES (VERBATIM) — CUSTODY / PARENTING TIME</w:t>
      </w:r>
    </w:p>
    <w:p>
      <w:r>
        <w:rPr>
          <w:i/>
        </w:rPr>
        <w:t>(Compiled 2025-09-30 America/Detroit)</w:t>
      </w:r>
    </w:p>
    <w:p>
      <w:r>
        <w:rPr>
          <w:b/>
        </w:rPr>
        <w:t>MCL 722.27a(1),(3),(7)</w:t>
      </w:r>
    </w:p>
    <w:p>
      <w:r>
        <w:t>Parenting time shall be granted in the child's best interests; a child has a right to parenting time unless clear and convincing evidence shows endangerment; grant in specific terms on request.</w:t>
      </w:r>
    </w:p>
    <w:p>
      <w:r>
        <w:rPr>
          <w:b/>
        </w:rPr>
        <w:t>MCL 552.644(2),(6),(8)</w:t>
      </w:r>
    </w:p>
    <w:p>
      <w:r>
        <w:t>Upon violation of parenting time without good cause, the court shall find contempt and may order make‑up time, fines, jail alternatives, sanctions, and costs.</w:t>
      </w:r>
    </w:p>
    <w:p>
      <w:r>
        <w:rPr>
          <w:b/>
        </w:rPr>
        <w:t>Shade v Wright, 291 Mich App 17 (2010)</w:t>
      </w:r>
    </w:p>
    <w:p>
      <w:r>
        <w:t>Parenting‑time changes that do not alter the established custodial environment are not governed by Vodvarka’s threshold; focus is on fostering a strong parent‑child relationship.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