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header"/>
      <w:bookmarkStart w:id="1" w:name="content"/>
      <w:bookmarkStart w:id="2" w:name="Xdd20c35f2b088b7eb2c15061e605d9c1354c52d"/>
      <w:bookmarkEnd w:id="0"/>
      <w:r>
        <w:rPr/>
        <w:t>Comprehensive Evidence Analysis: Custody, PPO Misuse &amp; Judicial Misconduct in Pigors v. Watson</w:t>
      </w:r>
    </w:p>
    <w:p>
      <w:pPr>
        <w:pStyle w:val="Heading2"/>
        <w:rPr/>
      </w:pPr>
      <w:bookmarkStart w:id="3" w:name="factual-and-entity-extraction"/>
      <w:r>
        <w:rPr/>
        <w:t>Factual and Entity Extraction</w:t>
      </w:r>
    </w:p>
    <w:p>
      <w:pPr>
        <w:pStyle w:val="FirstParagraph"/>
        <w:rPr/>
      </w:pPr>
      <w:r>
        <w:rPr>
          <w:b/>
          <w:bCs/>
        </w:rPr>
        <w:t>Parties &amp; Roles:</w:t>
      </w:r>
      <w:r>
        <w:rPr/>
        <w:t xml:space="preserve"> The case involves </w:t>
      </w:r>
      <w:r>
        <w:rPr>
          <w:b/>
          <w:bCs/>
        </w:rPr>
        <w:t>Andrew J. Pigors</w:t>
      </w:r>
      <w:r>
        <w:rPr/>
        <w:t xml:space="preserve"> (plaintiff in the custody case, father of minor child </w:t>
      </w:r>
      <w:r>
        <w:rPr>
          <w:i/>
          <w:iCs/>
        </w:rPr>
        <w:t>L.D.W.</w:t>
      </w:r>
      <w:r>
        <w:rPr/>
        <w:t xml:space="preserve">) and </w:t>
      </w:r>
      <w:r>
        <w:rPr>
          <w:b/>
          <w:bCs/>
        </w:rPr>
        <w:t>Emily A. Watson</w:t>
      </w:r>
      <w:r>
        <w:rPr/>
        <w:t xml:space="preserve"> (defendant in the custody case, mother)</w:t>
      </w:r>
      <w:hyperlink r:id="rId2">
        <w:r>
          <w:rPr>
            <w:rStyle w:val="Hyperlink"/>
          </w:rPr>
          <w:t>[1]</w:t>
        </w:r>
      </w:hyperlink>
      <w:r>
        <w:rPr/>
        <w:t>. In the PPO matter (Case No. 2023-5907-PP), Emily is the petitioner (plaintiff) and Andrew the respondent</w:t>
      </w:r>
      <w:hyperlink r:id="rId3">
        <w:r>
          <w:rPr>
            <w:rStyle w:val="Hyperlink"/>
          </w:rPr>
          <w:t>[2]</w:t>
        </w:r>
      </w:hyperlink>
      <w:r>
        <w:rPr/>
        <w:t xml:space="preserve">. The minor child, </w:t>
      </w:r>
      <w:r>
        <w:rPr>
          <w:i/>
          <w:iCs/>
        </w:rPr>
        <w:t>Lincoln David Watson (L.D.W.)</w:t>
      </w:r>
      <w:r>
        <w:rPr/>
        <w:t xml:space="preserve">, is their son. The presiding judge in both the custody (No. 2024-001507-DC) and PPO cases is </w:t>
      </w:r>
      <w:r>
        <w:rPr>
          <w:b/>
          <w:bCs/>
        </w:rPr>
        <w:t>Hon. Jenny L. McNeill</w:t>
      </w:r>
      <w:r>
        <w:rPr/>
        <w:t xml:space="preserve"> of the 14th Circuit Court (Muskegon County Family Division)</w:t>
      </w:r>
      <w:hyperlink r:id="rId4">
        <w:r>
          <w:rPr>
            <w:rStyle w:val="Hyperlink"/>
          </w:rPr>
          <w:t>[3]</w:t>
        </w:r>
      </w:hyperlink>
      <w:hyperlink r:id="rId5">
        <w:r>
          <w:rPr>
            <w:rStyle w:val="Hyperlink"/>
          </w:rPr>
          <w:t>[4]</w:t>
        </w:r>
      </w:hyperlink>
      <w:r>
        <w:rPr/>
        <w:t xml:space="preserve">. Emily is represented by attorney </w:t>
      </w:r>
      <w:r>
        <w:rPr>
          <w:b/>
          <w:bCs/>
        </w:rPr>
        <w:t>Jennifer Barnes</w:t>
      </w:r>
      <w:r>
        <w:rPr/>
        <w:t xml:space="preserve"> in the custody matter</w:t>
      </w:r>
      <w:hyperlink r:id="rId6">
        <w:r>
          <w:rPr>
            <w:rStyle w:val="Hyperlink"/>
          </w:rPr>
          <w:t>[5]</w:t>
        </w:r>
      </w:hyperlink>
      <w:r>
        <w:rPr/>
        <w:t xml:space="preserve">, while Andrew has at times proceeded </w:t>
      </w:r>
      <w:r>
        <w:rPr>
          <w:b/>
          <w:bCs/>
        </w:rPr>
        <w:t>pro se</w:t>
      </w:r>
      <w:r>
        <w:rPr/>
        <w:t xml:space="preserve"> and also had assistance from </w:t>
      </w:r>
      <w:r>
        <w:rPr>
          <w:b/>
          <w:bCs/>
        </w:rPr>
        <w:t>Mandi Martini</w:t>
      </w:r>
      <w:r>
        <w:rPr/>
        <w:t>, an Assistant Public Defender, during PPO violation proceedings</w:t>
      </w:r>
      <w:r>
        <w:fldChar w:fldCharType="begin"/>
      </w:r>
      <w:r>
        <w:rPr>
          <w:rStyle w:val="Hyperlink"/>
        </w:rPr>
        <w:instrText xml:space="preserve"> HYPERLINK "https://mail.google.com/mail/u/0/" \l "all/19740f355b677daa"</w:instrText>
      </w:r>
      <w:r>
        <w:rPr>
          <w:rStyle w:val="Hyperlink"/>
        </w:rPr>
        <w:fldChar w:fldCharType="separate"/>
      </w:r>
      <w:r>
        <w:rPr>
          <w:rStyle w:val="Hyperlink"/>
        </w:rPr>
        <w:t>[6]</w:t>
      </w:r>
      <w:r>
        <w:rPr>
          <w:rStyle w:val="Hyperlink"/>
        </w:rPr>
        <w:fldChar w:fldCharType="end"/>
      </w:r>
      <w:r>
        <w:rPr/>
        <w:t xml:space="preserve">. Other key individuals include </w:t>
      </w:r>
      <w:r>
        <w:rPr>
          <w:b/>
          <w:bCs/>
        </w:rPr>
        <w:t>Pamela Rusco</w:t>
      </w:r>
      <w:r>
        <w:rPr/>
        <w:t xml:space="preserve"> (a Friend of the Court case manager to whom Andrew reported updates</w:t>
      </w:r>
      <w:r>
        <w:fldChar w:fldCharType="begin"/>
      </w:r>
      <w:r>
        <w:rPr>
          <w:rStyle w:val="Hyperlink"/>
        </w:rPr>
        <w:instrText xml:space="preserve"> HYPERLINK "https://mail.google.com/mail/u/0/" \l "all/1994e5c10775b3db"</w:instrText>
      </w:r>
      <w:r>
        <w:rPr>
          <w:rStyle w:val="Hyperlink"/>
        </w:rPr>
        <w:fldChar w:fldCharType="separate"/>
      </w:r>
      <w:r>
        <w:rPr>
          <w:rStyle w:val="Hyperlink"/>
        </w:rPr>
        <w:t>[7]</w:t>
      </w:r>
      <w:r>
        <w:rPr>
          <w:rStyle w:val="Hyperlink"/>
        </w:rPr>
        <w:fldChar w:fldCharType="end"/>
      </w:r>
      <w:r>
        <w:rPr/>
        <w:t xml:space="preserve">), </w:t>
      </w:r>
      <w:r>
        <w:rPr>
          <w:b/>
          <w:bCs/>
        </w:rPr>
        <w:t>Albert Watson</w:t>
      </w:r>
      <w:r>
        <w:rPr/>
        <w:t xml:space="preserve"> (Emily’s father, who participated in serving the PPO and as a witness</w:t>
      </w:r>
      <w:hyperlink r:id="rId7">
        <w:r>
          <w:rPr>
            <w:rStyle w:val="Hyperlink"/>
          </w:rPr>
          <w:t>[8]</w:t>
        </w:r>
      </w:hyperlink>
      <w:r>
        <w:rPr/>
        <w:t xml:space="preserve">), </w:t>
      </w:r>
      <w:r>
        <w:rPr>
          <w:b/>
          <w:bCs/>
        </w:rPr>
        <w:t>Lori Watson</w:t>
      </w:r>
      <w:r>
        <w:rPr/>
        <w:t xml:space="preserve"> (a relative of Emily who recorded a video used as evidence</w:t>
      </w:r>
      <w:hyperlink r:id="rId8">
        <w:r>
          <w:rPr>
            <w:rStyle w:val="Hyperlink"/>
          </w:rPr>
          <w:t>[9]</w:t>
        </w:r>
      </w:hyperlink>
      <w:r>
        <w:rPr/>
        <w:t xml:space="preserve">), </w:t>
      </w:r>
      <w:r>
        <w:rPr>
          <w:b/>
          <w:bCs/>
        </w:rPr>
        <w:t>Cody Watson</w:t>
      </w:r>
      <w:r>
        <w:rPr/>
        <w:t xml:space="preserve"> (Emily’s brother, residing with her, involved in unsafe behavior</w:t>
      </w:r>
      <w:hyperlink r:id="rId9">
        <w:r>
          <w:rPr>
            <w:rStyle w:val="Hyperlink"/>
          </w:rPr>
          <w:t>[10]</w:t>
        </w:r>
      </w:hyperlink>
      <w:r>
        <w:rPr/>
        <w:t xml:space="preserve">), and </w:t>
      </w:r>
      <w:r>
        <w:rPr>
          <w:b/>
          <w:bCs/>
        </w:rPr>
        <w:t>Austin Muratori</w:t>
      </w:r>
      <w:r>
        <w:rPr/>
        <w:t xml:space="preserve"> (father of Emily’s other child, from whom Emily receives child support</w:t>
      </w:r>
      <w:hyperlink r:id="rId10">
        <w:r>
          <w:rPr>
            <w:rStyle w:val="Hyperlink"/>
          </w:rPr>
          <w:t>[11]</w:t>
        </w:r>
      </w:hyperlink>
      <w:r>
        <w:rPr/>
        <w:t>). These individuals and their actions are central to the adversarial alignment: Andrew and his evidence versus Emily, her family’s testimony, and the decisions of Judge McNeill.</w:t>
      </w:r>
    </w:p>
    <w:p>
      <w:pPr>
        <w:pStyle w:val="BodyText"/>
        <w:rPr/>
      </w:pPr>
      <w:r>
        <w:rPr>
          <w:b/>
          <w:bCs/>
        </w:rPr>
        <w:t>Case Background:</w:t>
      </w:r>
      <w:r>
        <w:rPr/>
        <w:t xml:space="preserve"> Andrew and Emily are unmarried parents who previously shared custody of L.D.W. (initially roughly 50/50)</w:t>
      </w:r>
      <w:hyperlink r:id="rId11">
        <w:r>
          <w:rPr>
            <w:rStyle w:val="Hyperlink"/>
          </w:rPr>
          <w:t>[12]</w:t>
        </w:r>
      </w:hyperlink>
      <w:r>
        <w:rPr/>
        <w:t xml:space="preserve">. After their separation, conflicts arose that led Emily to obtain a </w:t>
      </w:r>
      <w:r>
        <w:rPr>
          <w:b/>
          <w:bCs/>
        </w:rPr>
        <w:t>Personal Protection Order (PPO)</w:t>
      </w:r>
      <w:r>
        <w:rPr/>
        <w:t xml:space="preserve"> against Andrew in November 2023</w:t>
      </w:r>
      <w:hyperlink r:id="rId12">
        <w:r>
          <w:rPr>
            <w:rStyle w:val="Hyperlink"/>
          </w:rPr>
          <w:t>[13]</w:t>
        </w:r>
      </w:hyperlink>
      <w:hyperlink r:id="rId13">
        <w:r>
          <w:rPr>
            <w:rStyle w:val="Hyperlink"/>
          </w:rPr>
          <w:t>[14]</w:t>
        </w:r>
      </w:hyperlink>
      <w:r>
        <w:rPr/>
        <w:t>. The PPO was based on allegations of abuse and harassment (including an accusation that Andrew tried to poison Emily) which Andrew maintains were fabricated</w:t>
      </w:r>
      <w:hyperlink r:id="rId14">
        <w:r>
          <w:rPr>
            <w:rStyle w:val="Hyperlink"/>
          </w:rPr>
          <w:t>[15]</w:t>
        </w:r>
      </w:hyperlink>
      <w:hyperlink r:id="rId15">
        <w:r>
          <w:rPr>
            <w:rStyle w:val="Hyperlink"/>
          </w:rPr>
          <w:t>[16]</w:t>
        </w:r>
      </w:hyperlink>
      <w:r>
        <w:rPr/>
        <w:t>. Following the PPO, Andrew’s parenting time was drastically reduced – an interim arrangement cut his time with Lincoln from 182 days per year to just 78 days (about 4 overnights per month)</w:t>
      </w:r>
      <w:hyperlink r:id="rId16">
        <w:r>
          <w:rPr>
            <w:rStyle w:val="Hyperlink"/>
          </w:rPr>
          <w:t>[12]</w:t>
        </w:r>
      </w:hyperlink>
      <w:r>
        <w:rPr/>
        <w:t xml:space="preserve">. Andrew contends this reduction was made </w:t>
      </w:r>
      <w:r>
        <w:rPr>
          <w:b/>
          <w:bCs/>
        </w:rPr>
        <w:t>without proper factual findings</w:t>
      </w:r>
      <w:r>
        <w:rPr/>
        <w:t>, relying on Emily’s unsubstantiated claims</w:t>
      </w:r>
      <w:hyperlink r:id="rId17">
        <w:r>
          <w:rPr>
            <w:rStyle w:val="Hyperlink"/>
          </w:rPr>
          <w:t>[17]</w:t>
        </w:r>
      </w:hyperlink>
      <w:r>
        <w:rPr/>
        <w:t xml:space="preserve">. The custody case had been closed but, in light of new evidence of misconduct, Andrew is seeking to </w:t>
      </w:r>
      <w:r>
        <w:rPr>
          <w:b/>
          <w:bCs/>
        </w:rPr>
        <w:t>reopen and consolidate</w:t>
      </w:r>
      <w:r>
        <w:rPr/>
        <w:t xml:space="preserve"> it with the PPO case</w:t>
      </w:r>
      <w:hyperlink r:id="rId18">
        <w:r>
          <w:rPr>
            <w:rStyle w:val="Hyperlink"/>
          </w:rPr>
          <w:t>[18]</w:t>
        </w:r>
      </w:hyperlink>
      <w:r>
        <w:rPr/>
        <w:t>.</w:t>
      </w:r>
    </w:p>
    <w:p>
      <w:pPr>
        <w:pStyle w:val="BodyText"/>
        <w:rPr/>
      </w:pPr>
      <w:r>
        <w:rPr>
          <w:b/>
          <w:bCs/>
        </w:rPr>
        <w:t>Timeline of Key Dates:</w:t>
      </w:r>
      <w:r>
        <w:rPr/>
        <w:t xml:space="preserve"> Events span 2019 (birth of L.D.W.) through 2025. Notable incidents include multiple </w:t>
      </w:r>
      <w:r>
        <w:rPr>
          <w:b/>
          <w:bCs/>
        </w:rPr>
        <w:t>welfare checks</w:t>
      </w:r>
      <w:r>
        <w:rPr/>
        <w:t xml:space="preserve"> on Andrew (October 15 and November 12, 2023) instigated by Emily’s claims of instability</w:t>
      </w:r>
      <w:hyperlink r:id="rId19">
        <w:r>
          <w:rPr>
            <w:rStyle w:val="Hyperlink"/>
          </w:rPr>
          <w:t>[19]</w:t>
        </w:r>
      </w:hyperlink>
      <w:r>
        <w:rPr/>
        <w:t xml:space="preserve">, the </w:t>
      </w:r>
      <w:r>
        <w:rPr>
          <w:b/>
          <w:bCs/>
        </w:rPr>
        <w:t>PPO issuance on November 17, 2023</w:t>
      </w:r>
      <w:r>
        <w:rPr/>
        <w:t xml:space="preserve"> after Emily’s poisoning allegation</w:t>
      </w:r>
      <w:hyperlink r:id="rId20">
        <w:r>
          <w:rPr>
            <w:rStyle w:val="Hyperlink"/>
          </w:rPr>
          <w:t>[15]</w:t>
        </w:r>
      </w:hyperlink>
      <w:r>
        <w:rPr/>
        <w:t xml:space="preserve">, subsequent PPO violation proceedings in </w:t>
      </w:r>
      <w:r>
        <w:rPr>
          <w:i/>
          <w:iCs/>
        </w:rPr>
        <w:t>late 2024</w:t>
      </w:r>
      <w:r>
        <w:rPr/>
        <w:t xml:space="preserve"> and </w:t>
      </w:r>
      <w:r>
        <w:rPr>
          <w:i/>
          <w:iCs/>
        </w:rPr>
        <w:t>early 2025</w:t>
      </w:r>
      <w:r>
        <w:rPr/>
        <w:t xml:space="preserve">, and an </w:t>
      </w:r>
      <w:r>
        <w:rPr>
          <w:b/>
          <w:bCs/>
        </w:rPr>
        <w:t>emergency ex parte motion on August 8, 2025</w:t>
      </w:r>
      <w:r>
        <w:rPr/>
        <w:t xml:space="preserve"> by Emily that resulted in Judge McNeill suspending Andrew’s parenting time entirely</w:t>
      </w:r>
      <w:hyperlink r:id="rId21">
        <w:r>
          <w:rPr>
            <w:rStyle w:val="Hyperlink"/>
          </w:rPr>
          <w:t>[20]</w:t>
        </w:r>
      </w:hyperlink>
      <w:r>
        <w:rPr/>
        <w:t>. These dates are normalized to YYYY-MM-DD format (Eastern Time) in the timeline below for clarity.</w:t>
      </w:r>
    </w:p>
    <w:p>
      <w:pPr>
        <w:pStyle w:val="BodyText"/>
        <w:rPr/>
      </w:pPr>
      <w:r>
        <w:rPr>
          <w:b/>
          <w:bCs/>
        </w:rPr>
        <w:t>Locations:</w:t>
      </w:r>
      <w:r>
        <w:rPr/>
        <w:t xml:space="preserve"> The dispute is centered in </w:t>
      </w:r>
      <w:r>
        <w:rPr>
          <w:b/>
          <w:bCs/>
        </w:rPr>
        <w:t>Muskegon County, Michigan</w:t>
      </w:r>
      <w:r>
        <w:rPr/>
        <w:t>. Andrew resides in Muskegon (1977 Whitehall Rd)</w:t>
      </w:r>
      <w:hyperlink r:id="rId22">
        <w:r>
          <w:rPr>
            <w:rStyle w:val="Hyperlink"/>
          </w:rPr>
          <w:t>[1]</w:t>
        </w:r>
      </w:hyperlink>
      <w:r>
        <w:rPr/>
        <w:t>, while Emily resides in Norton Shores (2160 Garland Dr)</w:t>
      </w:r>
      <w:hyperlink r:id="rId23">
        <w:r>
          <w:rPr>
            <w:rStyle w:val="Hyperlink"/>
          </w:rPr>
          <w:t>[21]</w:t>
        </w:r>
      </w:hyperlink>
      <w:r>
        <w:rPr/>
        <w:t xml:space="preserve"> – both addresses are in Muskegon County. Court hearings took place at the </w:t>
      </w:r>
      <w:r>
        <w:rPr>
          <w:b/>
          <w:bCs/>
        </w:rPr>
        <w:t>14th Circuit Court, 990 Terrace St, Muskegon, MI</w:t>
      </w:r>
      <w:hyperlink r:id="rId24">
        <w:r>
          <w:rPr>
            <w:rStyle w:val="Hyperlink"/>
          </w:rPr>
          <w:t>[22]</w:t>
        </w:r>
      </w:hyperlink>
      <w:r>
        <w:rPr/>
        <w:t xml:space="preserve">. Some exchanges and incidents occurred at these residences; for example, Andrew was </w:t>
      </w:r>
      <w:r>
        <w:rPr>
          <w:b/>
          <w:bCs/>
        </w:rPr>
        <w:t>evicted from the shared residence</w:t>
      </w:r>
      <w:r>
        <w:rPr/>
        <w:t xml:space="preserve"> in November 2023 under contentious circumstances involving the PPO</w:t>
      </w:r>
      <w:hyperlink r:id="rId25">
        <w:r>
          <w:rPr>
            <w:rStyle w:val="Hyperlink"/>
          </w:rPr>
          <w:t>[23]</w:t>
        </w:r>
      </w:hyperlink>
      <w:r>
        <w:rPr/>
        <w:t xml:space="preserve">. Additionally, </w:t>
      </w:r>
      <w:r>
        <w:rPr>
          <w:b/>
          <w:bCs/>
        </w:rPr>
        <w:t>AppClose</w:t>
      </w:r>
      <w:r>
        <w:rPr/>
        <w:t xml:space="preserve"> (a co-parenting app) was used for communication and custody exchanges; its logs include timestamps and GPS info confirming locations of custody exchanges and documenting instances where Emily failed to appear or share the child’s whereabouts</w:t>
      </w:r>
      <w:hyperlink r:id="rId26">
        <w:r>
          <w:rPr>
            <w:rStyle w:val="Hyperlink"/>
          </w:rPr>
          <w:t>[24]</w:t>
        </w:r>
      </w:hyperlink>
      <w:r>
        <w:rPr/>
        <w:t xml:space="preserve">. Law enforcement from both </w:t>
      </w:r>
      <w:r>
        <w:rPr>
          <w:b/>
          <w:bCs/>
        </w:rPr>
        <w:t>Muskegon Police Department</w:t>
      </w:r>
      <w:r>
        <w:rPr/>
        <w:t xml:space="preserve"> and </w:t>
      </w:r>
      <w:r>
        <w:rPr>
          <w:b/>
          <w:bCs/>
        </w:rPr>
        <w:t>Norton Shores Police</w:t>
      </w:r>
      <w:r>
        <w:rPr/>
        <w:t xml:space="preserve"> were involved in responding to incidents (e.g., welfare checks and alleged PPO violations)</w:t>
      </w:r>
      <w:hyperlink r:id="rId27">
        <w:r>
          <w:rPr>
            <w:rStyle w:val="Hyperlink"/>
          </w:rPr>
          <w:t>[19]</w:t>
        </w:r>
      </w:hyperlink>
      <w:r>
        <w:rPr/>
        <w:t>. These location details establish jurisdiction and the context in which events (like service of court papers or police visits) took place.</w:t>
      </w:r>
      <w:bookmarkEnd w:id="3"/>
    </w:p>
    <w:p>
      <w:pPr>
        <w:pStyle w:val="Heading2"/>
        <w:rPr/>
      </w:pPr>
      <w:bookmarkStart w:id="4" w:name="X9e20a8bcbe0d57b03ea00d2e170b50e97b706ee"/>
      <w:r>
        <w:rPr/>
        <w:t>Accusations by Emily &amp; Contradictions in Evidence</w:t>
      </w:r>
    </w:p>
    <w:p>
      <w:pPr>
        <w:pStyle w:val="FirstParagraph"/>
        <w:rPr/>
      </w:pPr>
      <w:r>
        <w:rPr/>
        <w:t xml:space="preserve">Emily A. Watson has made several serious accusations against Andrew, which the collected evidence often </w:t>
      </w:r>
      <w:r>
        <w:rPr>
          <w:b/>
          <w:bCs/>
        </w:rPr>
        <w:t>directly refutes or contradicts</w:t>
      </w:r>
      <w:r>
        <w:rPr/>
        <w:t>. Below is a mapping of each major allegation to the evidence disproving it, along with a brief credibility assessment:</w:t>
      </w:r>
    </w:p>
    <w:p>
      <w:pPr>
        <w:pStyle w:val="Normal"/>
        <w:numPr>
          <w:ilvl w:val="0"/>
          <w:numId w:val="1"/>
        </w:numPr>
        <w:rPr/>
      </w:pPr>
      <w:r>
        <w:rPr>
          <w:b/>
          <w:bCs/>
        </w:rPr>
        <w:t>Allegation 1 – “Poisoning Attempt”:</w:t>
      </w:r>
      <w:r>
        <w:rPr/>
        <w:t xml:space="preserve"> Emily claimed in November 2023 that Andrew poisoned her (allegedly using arsenic, with a mason jar as the supposed device)</w:t>
      </w:r>
      <w:hyperlink r:id="rId28">
        <w:r>
          <w:rPr>
            <w:rStyle w:val="Hyperlink"/>
          </w:rPr>
          <w:t>[15]</w:t>
        </w:r>
      </w:hyperlink>
      <w:r>
        <w:rPr/>
        <w:t xml:space="preserve">. She presented a photograph of a </w:t>
      </w:r>
      <w:r>
        <w:rPr>
          <w:b/>
          <w:bCs/>
        </w:rPr>
        <w:t>mason jar</w:t>
      </w:r>
      <w:r>
        <w:rPr/>
        <w:t xml:space="preserve"> taken from Andrew’s belongings as “evidence” of this plot.</w:t>
        <w:br/>
      </w:r>
      <w:r>
        <w:rPr>
          <w:b/>
          <w:bCs/>
        </w:rPr>
        <w:t>Contradiction:</w:t>
      </w:r>
      <w:r>
        <w:rPr/>
        <w:t xml:space="preserve"> Medical records from Emily’s </w:t>
      </w:r>
      <w:r>
        <w:rPr>
          <w:b/>
          <w:bCs/>
        </w:rPr>
        <w:t>ER visit on 2023-11-17</w:t>
      </w:r>
      <w:r>
        <w:rPr/>
        <w:t xml:space="preserve"> show </w:t>
      </w:r>
      <w:r>
        <w:rPr>
          <w:b/>
          <w:bCs/>
        </w:rPr>
        <w:t>no poison</w:t>
      </w:r>
      <w:r>
        <w:rPr/>
        <w:t xml:space="preserve"> was found – her symptoms were attributed to hypertension, not toxic ingestion</w:t>
      </w:r>
      <w:hyperlink r:id="rId29">
        <w:r>
          <w:rPr>
            <w:rStyle w:val="Hyperlink"/>
          </w:rPr>
          <w:t>[15]</w:t>
        </w:r>
      </w:hyperlink>
      <w:r>
        <w:rPr/>
        <w:t xml:space="preserve">. Andrew also has </w:t>
      </w:r>
      <w:r>
        <w:rPr>
          <w:b/>
          <w:bCs/>
        </w:rPr>
        <w:t>photographic proof (taken 2023-11-16)</w:t>
      </w:r>
      <w:r>
        <w:rPr/>
        <w:t xml:space="preserve"> that the same mason jar and a webcam were simply among his personal items during an eviction, not hidden tools of poisoning</w:t>
      </w:r>
      <w:hyperlink r:id="rId30">
        <w:r>
          <w:rPr>
            <w:rStyle w:val="Hyperlink"/>
          </w:rPr>
          <w:t>[16]</w:t>
        </w:r>
      </w:hyperlink>
      <w:r>
        <w:rPr/>
        <w:t xml:space="preserve">. In fact, Emily accessed these items </w:t>
      </w:r>
      <w:r>
        <w:rPr>
          <w:i/>
          <w:iCs/>
        </w:rPr>
        <w:t>while Andrew was absent</w:t>
      </w:r>
      <w:r>
        <w:rPr/>
        <w:t xml:space="preserve"> (under an eviction order) and staged photos to mislead the court</w:t>
      </w:r>
      <w:hyperlink r:id="rId31">
        <w:r>
          <w:rPr>
            <w:rStyle w:val="Hyperlink"/>
          </w:rPr>
          <w:t>[16]</w:t>
        </w:r>
      </w:hyperlink>
      <w:hyperlink r:id="rId32">
        <w:r>
          <w:rPr>
            <w:rStyle w:val="Hyperlink"/>
          </w:rPr>
          <w:t>[14]</w:t>
        </w:r>
      </w:hyperlink>
      <w:r>
        <w:rPr/>
        <w:t xml:space="preserve">. Given the </w:t>
      </w:r>
      <w:r>
        <w:rPr>
          <w:b/>
          <w:bCs/>
        </w:rPr>
        <w:t>medical refutation and evidence of staging</w:t>
      </w:r>
      <w:r>
        <w:rPr/>
        <w:t xml:space="preserve">, this poisoning allegation’s credibility is effectively zero – it appears </w:t>
      </w:r>
      <w:r>
        <w:rPr>
          <w:b/>
          <w:bCs/>
        </w:rPr>
        <w:t>fabricated</w:t>
      </w:r>
      <w:r>
        <w:rPr/>
        <w:t xml:space="preserve"> for the PPO</w:t>
      </w:r>
      <w:hyperlink r:id="rId33">
        <w:r>
          <w:rPr>
            <w:rStyle w:val="Hyperlink"/>
          </w:rPr>
          <w:t>[25]</w:t>
        </w:r>
      </w:hyperlink>
      <w:hyperlink r:id="rId34">
        <w:r>
          <w:rPr>
            <w:rStyle w:val="Hyperlink"/>
          </w:rPr>
          <w:t>[14]</w:t>
        </w:r>
      </w:hyperlink>
      <w:r>
        <w:rPr/>
        <w:t>.</w:t>
      </w:r>
    </w:p>
    <w:p>
      <w:pPr>
        <w:pStyle w:val="Normal"/>
        <w:numPr>
          <w:ilvl w:val="0"/>
          <w:numId w:val="1"/>
        </w:numPr>
        <w:rPr/>
      </w:pPr>
      <w:r>
        <w:rPr>
          <w:b/>
          <w:bCs/>
        </w:rPr>
        <w:t>Allegation 2 – “Physical Assault”:</w:t>
      </w:r>
      <w:r>
        <w:rPr/>
        <w:t xml:space="preserve"> Emily has alleged that Andrew physically assaulted her during an altercation, but her story changed over time (claiming at one point that he </w:t>
      </w:r>
      <w:r>
        <w:rPr>
          <w:i/>
          <w:iCs/>
        </w:rPr>
        <w:t>“threw her off a table”</w:t>
      </w:r>
      <w:r>
        <w:rPr/>
        <w:t xml:space="preserve"> and in another instance that she was </w:t>
      </w:r>
      <w:r>
        <w:rPr>
          <w:i/>
          <w:iCs/>
        </w:rPr>
        <w:t>“pushed to her knees”</w:t>
      </w:r>
      <w:r>
        <w:rPr/>
        <w:t>)</w:t>
      </w:r>
      <w:hyperlink r:id="rId35">
        <w:r>
          <w:rPr>
            <w:rStyle w:val="Hyperlink"/>
          </w:rPr>
          <w:t>[26]</w:t>
        </w:r>
      </w:hyperlink>
      <w:r>
        <w:rPr/>
        <w:t>.</w:t>
        <w:br/>
      </w:r>
      <w:r>
        <w:rPr>
          <w:b/>
          <w:bCs/>
        </w:rPr>
        <w:t>Contradiction:</w:t>
      </w:r>
      <w:r>
        <w:rPr/>
        <w:t xml:space="preserve"> There are </w:t>
      </w:r>
      <w:r>
        <w:rPr>
          <w:b/>
          <w:bCs/>
        </w:rPr>
        <w:t>no police reports or third-party witnesses</w:t>
      </w:r>
      <w:r>
        <w:rPr/>
        <w:t xml:space="preserve"> supporting that any assault occurred</w:t>
      </w:r>
      <w:hyperlink r:id="rId36">
        <w:r>
          <w:rPr>
            <w:rStyle w:val="Hyperlink"/>
          </w:rPr>
          <w:t>[27]</w:t>
        </w:r>
      </w:hyperlink>
      <w:r>
        <w:rPr/>
        <w:t xml:space="preserve">. Emily’s </w:t>
      </w:r>
      <w:r>
        <w:rPr>
          <w:b/>
          <w:bCs/>
        </w:rPr>
        <w:t>inconsistent accounts</w:t>
      </w:r>
      <w:r>
        <w:rPr/>
        <w:t xml:space="preserve"> undermine her claim – the lack of corroboration and her varying descriptions suggest the incident either did not occur or was grossly exaggerated</w:t>
      </w:r>
      <w:hyperlink r:id="rId37">
        <w:r>
          <w:rPr>
            <w:rStyle w:val="Hyperlink"/>
          </w:rPr>
          <w:t>[26]</w:t>
        </w:r>
      </w:hyperlink>
      <w:r>
        <w:rPr/>
        <w:t xml:space="preserve">. Andrew was never charged with any assault. Credibility of this claim is </w:t>
      </w:r>
      <w:r>
        <w:rPr>
          <w:b/>
          <w:bCs/>
        </w:rPr>
        <w:t>very low</w:t>
      </w:r>
      <w:r>
        <w:rPr/>
        <w:t>; the internal contradictions in Emily’s statements call her truthfulness into question.</w:t>
      </w:r>
    </w:p>
    <w:p>
      <w:pPr>
        <w:pStyle w:val="Normal"/>
        <w:numPr>
          <w:ilvl w:val="0"/>
          <w:numId w:val="1"/>
        </w:numPr>
        <w:rPr/>
      </w:pPr>
      <w:r>
        <w:rPr>
          <w:b/>
          <w:bCs/>
        </w:rPr>
        <w:t>Allegation 3 – “Harassment &amp; Surveillance”:</w:t>
      </w:r>
      <w:r>
        <w:rPr/>
        <w:t xml:space="preserve"> The PPO petition implied Andrew was harassing Emily, possibly spying on her (the mention of a </w:t>
      </w:r>
      <w:r>
        <w:rPr>
          <w:b/>
          <w:bCs/>
        </w:rPr>
        <w:t>webcam</w:t>
      </w:r>
      <w:r>
        <w:rPr/>
        <w:t xml:space="preserve"> found among his items was used to insinuate he surveilled her)</w:t>
      </w:r>
      <w:hyperlink r:id="rId38">
        <w:r>
          <w:rPr>
            <w:rStyle w:val="Hyperlink"/>
          </w:rPr>
          <w:t>[13]</w:t>
        </w:r>
      </w:hyperlink>
      <w:r>
        <w:rPr/>
        <w:t>. Emily and her family also produced audio/video recordings purportedly of Andrew behaving threateningly.</w:t>
        <w:br/>
      </w:r>
      <w:r>
        <w:rPr>
          <w:b/>
          <w:bCs/>
        </w:rPr>
        <w:t>Contradiction:</w:t>
      </w:r>
      <w:r>
        <w:rPr/>
        <w:t xml:space="preserve"> The </w:t>
      </w:r>
      <w:r>
        <w:rPr>
          <w:b/>
          <w:bCs/>
        </w:rPr>
        <w:t>webcam</w:t>
      </w:r>
      <w:r>
        <w:rPr/>
        <w:t xml:space="preserve"> cited was part of Andrew’s computer belongings, not installed to spy on Emily</w:t>
      </w:r>
      <w:hyperlink r:id="rId39">
        <w:r>
          <w:rPr>
            <w:rStyle w:val="Hyperlink"/>
          </w:rPr>
          <w:t>[16]</w:t>
        </w:r>
      </w:hyperlink>
      <w:r>
        <w:rPr/>
        <w:t xml:space="preserve">. No evidence shows he ever used it against her – its “discovery” was simply engineered when Emily </w:t>
      </w:r>
      <w:r>
        <w:rPr>
          <w:b/>
          <w:bCs/>
        </w:rPr>
        <w:t>rifled through his property</w:t>
      </w:r>
      <w:r>
        <w:rPr/>
        <w:t xml:space="preserve"> after forcing him out. As for the recordings, one was a video made by </w:t>
      </w:r>
      <w:r>
        <w:rPr>
          <w:i/>
          <w:iCs/>
        </w:rPr>
        <w:t>Lori Watson</w:t>
      </w:r>
      <w:r>
        <w:rPr/>
        <w:t xml:space="preserve"> of a phone call involving </w:t>
      </w:r>
      <w:r>
        <w:rPr>
          <w:i/>
          <w:iCs/>
        </w:rPr>
        <w:t>Albert Watson</w:t>
      </w:r>
      <w:r>
        <w:rPr/>
        <w:t xml:space="preserve"> (Emily’s father) and a voice alleged to be Andrew – this was </w:t>
      </w:r>
      <w:r>
        <w:rPr>
          <w:b/>
          <w:bCs/>
        </w:rPr>
        <w:t>never authenticated</w:t>
      </w:r>
      <w:r>
        <w:rPr/>
        <w:t xml:space="preserve"> and was admitted improperly</w:t>
      </w:r>
      <w:hyperlink r:id="rId40">
        <w:r>
          <w:rPr>
            <w:rStyle w:val="Hyperlink"/>
          </w:rPr>
          <w:t>[9]</w:t>
        </w:r>
      </w:hyperlink>
      <w:r>
        <w:rPr/>
        <w:t xml:space="preserve">. Judge McNeill allowed these dubious recordings, even having court staff privately “screen” a USB drive of audio, but there’s </w:t>
      </w:r>
      <w:r>
        <w:rPr>
          <w:b/>
          <w:bCs/>
        </w:rPr>
        <w:t>no proof</w:t>
      </w:r>
      <w:r>
        <w:rPr/>
        <w:t xml:space="preserve"> the voice was Andrew’s or that any harassment occurred</w:t>
      </w:r>
      <w:hyperlink r:id="rId41">
        <w:r>
          <w:rPr>
            <w:rStyle w:val="Hyperlink"/>
          </w:rPr>
          <w:t>[28]</w:t>
        </w:r>
      </w:hyperlink>
      <w:r>
        <w:rPr/>
        <w:t xml:space="preserve">. In fact, Albert Watson had a conflict of interest (he had </w:t>
      </w:r>
      <w:r>
        <w:rPr>
          <w:b/>
          <w:bCs/>
        </w:rPr>
        <w:t>personally threatened Andrew</w:t>
      </w:r>
      <w:r>
        <w:rPr/>
        <w:t>), casting further doubt on the fairness of this evidence</w:t>
      </w:r>
      <w:hyperlink r:id="rId42">
        <w:r>
          <w:rPr>
            <w:rStyle w:val="Hyperlink"/>
          </w:rPr>
          <w:t>[29]</w:t>
        </w:r>
      </w:hyperlink>
      <w:r>
        <w:rPr/>
        <w:t xml:space="preserve">. Because the “evidence” here was not verified and was gathered under suspect circumstances, these harassment allegations have </w:t>
      </w:r>
      <w:r>
        <w:rPr>
          <w:b/>
          <w:bCs/>
        </w:rPr>
        <w:t>little credibility</w:t>
      </w:r>
      <w:r>
        <w:rPr/>
        <w:t xml:space="preserve">. They appear to be </w:t>
      </w:r>
      <w:r>
        <w:rPr>
          <w:b/>
          <w:bCs/>
        </w:rPr>
        <w:t>weaponized family hearsay</w:t>
      </w:r>
      <w:r>
        <w:rPr/>
        <w:t>, not objective proof</w:t>
      </w:r>
      <w:hyperlink r:id="rId43">
        <w:r>
          <w:rPr>
            <w:rStyle w:val="Hyperlink"/>
          </w:rPr>
          <w:t>[9]</w:t>
        </w:r>
      </w:hyperlink>
      <w:r>
        <w:rPr/>
        <w:t>.</w:t>
      </w:r>
    </w:p>
    <w:p>
      <w:pPr>
        <w:pStyle w:val="Normal"/>
        <w:numPr>
          <w:ilvl w:val="0"/>
          <w:numId w:val="1"/>
        </w:numPr>
        <w:rPr/>
      </w:pPr>
      <w:r>
        <w:rPr>
          <w:b/>
          <w:bCs/>
        </w:rPr>
        <w:t>Allegation 4 – “Father is Mentally Unstable/Dangerous”:</w:t>
      </w:r>
      <w:r>
        <w:rPr/>
        <w:t xml:space="preserve"> Emily repeatedly told authorities and the court that Andrew was mentally unstable – e.g. claiming he was suicidal and a danger to their son – to justify restricting his parenting time. She prompted </w:t>
      </w:r>
      <w:r>
        <w:rPr>
          <w:b/>
          <w:bCs/>
        </w:rPr>
        <w:t>welfare checks</w:t>
      </w:r>
      <w:r>
        <w:rPr/>
        <w:t xml:space="preserve"> on Andrew on 2023-10-15 and 2023-11-12, alleging he might harm himself or Lincoln</w:t>
      </w:r>
      <w:hyperlink r:id="rId44">
        <w:r>
          <w:rPr>
            <w:rStyle w:val="Hyperlink"/>
          </w:rPr>
          <w:t>[30]</w:t>
        </w:r>
      </w:hyperlink>
      <w:r>
        <w:rPr/>
        <w:t>. Later, in August 2025, she sought an ex parte custody suspension, likely arguing that Andrew posed an immediate danger.</w:t>
        <w:br/>
      </w:r>
      <w:r>
        <w:rPr>
          <w:b/>
          <w:bCs/>
        </w:rPr>
        <w:t>Contradiction:</w:t>
      </w:r>
      <w:r>
        <w:rPr/>
        <w:t xml:space="preserve"> </w:t>
      </w:r>
      <w:r>
        <w:rPr>
          <w:b/>
          <w:bCs/>
        </w:rPr>
        <w:t>Police and medical responders found no support</w:t>
      </w:r>
      <w:r>
        <w:rPr/>
        <w:t xml:space="preserve"> for Emily’s claims about Andrew’s mental state. </w:t>
      </w:r>
      <w:r>
        <w:rPr>
          <w:b/>
          <w:bCs/>
        </w:rPr>
        <w:t>Muskegon PD reports</w:t>
      </w:r>
      <w:r>
        <w:rPr/>
        <w:t xml:space="preserve"> from Oct 15 and Nov 12, 2023 show officers found </w:t>
      </w:r>
      <w:r>
        <w:rPr>
          <w:b/>
          <w:bCs/>
        </w:rPr>
        <w:t>no indication of suicidal behavior or harm</w:t>
      </w:r>
      <w:r>
        <w:rPr/>
        <w:t xml:space="preserve"> when they checked on Andrew</w:t>
      </w:r>
      <w:hyperlink r:id="rId45">
        <w:r>
          <w:rPr>
            <w:rStyle w:val="Hyperlink"/>
          </w:rPr>
          <w:t>[30]</w:t>
        </w:r>
      </w:hyperlink>
      <w:r>
        <w:rPr/>
        <w:t>. In one case (Nov 12), Andrew himself calmly refuted the claim to the dispatcher, and the check concluded he was fine</w:t>
      </w:r>
      <w:hyperlink r:id="rId46">
        <w:r>
          <w:rPr>
            <w:rStyle w:val="Hyperlink"/>
          </w:rPr>
          <w:t>[31]</w:t>
        </w:r>
      </w:hyperlink>
      <w:r>
        <w:rPr/>
        <w:t xml:space="preserve">. Furthermore, Andrew </w:t>
      </w:r>
      <w:r>
        <w:rPr>
          <w:b/>
          <w:bCs/>
        </w:rPr>
        <w:t>voluntarily underwent psychological evaluations</w:t>
      </w:r>
      <w:r>
        <w:rPr/>
        <w:t xml:space="preserve"> as required by the court – including a </w:t>
      </w:r>
      <w:r>
        <w:rPr>
          <w:b/>
          <w:bCs/>
        </w:rPr>
        <w:t>HealthWest assessment</w:t>
      </w:r>
      <w:r>
        <w:rPr/>
        <w:t xml:space="preserve"> in 2025 – which he passed without issues (the </w:t>
      </w:r>
      <w:r>
        <w:rPr>
          <w:b/>
          <w:bCs/>
        </w:rPr>
        <w:t>HealthWest report found no mental health crisis</w:t>
      </w:r>
      <w:r>
        <w:rPr/>
        <w:t>)</w:t>
      </w:r>
      <w:hyperlink r:id="rId47">
        <w:r>
          <w:rPr>
            <w:rStyle w:val="Hyperlink"/>
          </w:rPr>
          <w:t>[32]</w:t>
        </w:r>
      </w:hyperlink>
      <w:r>
        <w:rPr/>
        <w:t xml:space="preserve">. Despite that, Judge McNeill inexplicably </w:t>
      </w:r>
      <w:r>
        <w:rPr>
          <w:i/>
          <w:iCs/>
        </w:rPr>
        <w:t>disregarded</w:t>
      </w:r>
      <w:r>
        <w:rPr/>
        <w:t xml:space="preserve"> the favorable evaluation</w:t>
      </w:r>
      <w:hyperlink r:id="rId48">
        <w:r>
          <w:rPr>
            <w:rStyle w:val="Hyperlink"/>
          </w:rPr>
          <w:t>[32]</w:t>
        </w:r>
      </w:hyperlink>
      <w:r>
        <w:rPr/>
        <w:t xml:space="preserve">. The evidence indicates Andrew is </w:t>
      </w:r>
      <w:r>
        <w:rPr>
          <w:b/>
          <w:bCs/>
        </w:rPr>
        <w:t>stable</w:t>
      </w:r>
      <w:r>
        <w:rPr/>
        <w:t xml:space="preserve"> and that Emily’s dire portrayal is unsubstantiated. Thus, this “unstable father” allegation lacks merit; its credibility is </w:t>
      </w:r>
      <w:r>
        <w:rPr>
          <w:b/>
          <w:bCs/>
        </w:rPr>
        <w:t>very low</w:t>
      </w:r>
      <w:r>
        <w:rPr/>
        <w:t>, seemingly a pretext to deprive him of custody rather than a fact-based concern.</w:t>
      </w:r>
    </w:p>
    <w:p>
      <w:pPr>
        <w:pStyle w:val="Normal"/>
        <w:numPr>
          <w:ilvl w:val="0"/>
          <w:numId w:val="1"/>
        </w:numPr>
        <w:rPr/>
      </w:pPr>
      <w:r>
        <w:rPr>
          <w:b/>
          <w:bCs/>
        </w:rPr>
        <w:t>Allegation 5 – “Repeated PPO Violations by Andrew”:</w:t>
      </w:r>
      <w:r>
        <w:rPr/>
        <w:t xml:space="preserve"> Emily has accused Andrew of violating the PPO multiple times (often minor or technical violations), leading to </w:t>
      </w:r>
      <w:r>
        <w:rPr>
          <w:b/>
          <w:bCs/>
        </w:rPr>
        <w:t>show-cause hearings</w:t>
      </w:r>
      <w:r>
        <w:rPr/>
        <w:t xml:space="preserve"> and contempt findings. For example, she claimed he violated the PPO in incidents around October 2024 and November 2024, and filed motions to punish him.</w:t>
        <w:br/>
      </w:r>
      <w:r>
        <w:rPr>
          <w:b/>
          <w:bCs/>
        </w:rPr>
        <w:t>Contradiction:</w:t>
      </w:r>
      <w:r>
        <w:rPr/>
        <w:t xml:space="preserve"> At least some of these alleged violations were </w:t>
      </w:r>
      <w:r>
        <w:rPr>
          <w:b/>
          <w:bCs/>
        </w:rPr>
        <w:t>proven false or trivial</w:t>
      </w:r>
      <w:r>
        <w:rPr/>
        <w:t xml:space="preserve">. A notable example: Muskegon Police Report </w:t>
      </w:r>
      <w:r>
        <w:rPr>
          <w:i/>
          <w:iCs/>
        </w:rPr>
        <w:t>MU2422249</w:t>
      </w:r>
      <w:r>
        <w:rPr/>
        <w:t xml:space="preserve"> dated 2024-11-15 explicitly states </w:t>
      </w:r>
      <w:r>
        <w:rPr>
          <w:b/>
          <w:bCs/>
        </w:rPr>
        <w:t>“No violation of PPO occurred”</w:t>
      </w:r>
      <w:r>
        <w:rPr/>
        <w:t xml:space="preserve"> in the incident it investigated</w:t>
      </w:r>
      <w:hyperlink r:id="rId49">
        <w:r>
          <w:rPr>
            <w:rStyle w:val="Hyperlink"/>
          </w:rPr>
          <w:t>[33]</w:t>
        </w:r>
      </w:hyperlink>
      <w:r>
        <w:rPr/>
        <w:t>. Despite this official exculpatory finding, Judge McNeill proceeded as if there was a violation – even moving toward sentencing Andrew for contempt</w:t>
      </w:r>
      <w:hyperlink r:id="rId50">
        <w:r>
          <w:rPr>
            <w:rStyle w:val="Hyperlink"/>
          </w:rPr>
          <w:t>[33]</w:t>
        </w:r>
      </w:hyperlink>
      <w:r>
        <w:rPr/>
        <w:t xml:space="preserve">. Email correspondence from ADA Mandi Martini on 2025-02-28 further indicates the </w:t>
      </w:r>
      <w:r>
        <w:rPr>
          <w:b/>
          <w:bCs/>
        </w:rPr>
        <w:t>prosecutor found nothing substantive</w:t>
      </w:r>
      <w:r>
        <w:rPr/>
        <w:t xml:space="preserve"> in one of Emily’s contempt motions (the prosecutor only sought to have the judge “lecture” Andrew, essentially admitting the motion lacked merit). These records suggest Emily has been </w:t>
      </w:r>
      <w:r>
        <w:rPr>
          <w:b/>
          <w:bCs/>
        </w:rPr>
        <w:t>overzealous or deceptive</w:t>
      </w:r>
      <w:r>
        <w:rPr/>
        <w:t xml:space="preserve"> in alleging PPO breaches. Andrew did face multiple charges, but evidence and outcomes show a pattern of </w:t>
      </w:r>
      <w:r>
        <w:rPr>
          <w:i/>
          <w:iCs/>
        </w:rPr>
        <w:t>overreach</w:t>
      </w:r>
      <w:r>
        <w:rPr/>
        <w:t xml:space="preserve">: some accusations were dismissed or resulted in minimal consequence when facts came out. Thus, while a few technical violations (like incidental contact or communications) might have occurred, the </w:t>
      </w:r>
      <w:r>
        <w:rPr>
          <w:b/>
          <w:bCs/>
        </w:rPr>
        <w:t>majority of Emily’s PPO-violation claims are unsubstantiated</w:t>
      </w:r>
      <w:r>
        <w:rPr/>
        <w:t xml:space="preserve"> or </w:t>
      </w:r>
      <w:r>
        <w:rPr>
          <w:b/>
          <w:bCs/>
        </w:rPr>
        <w:t>exaggerated</w:t>
      </w:r>
      <w:r>
        <w:rPr/>
        <w:t>, undermining her credibility.</w:t>
      </w:r>
    </w:p>
    <w:p>
      <w:pPr>
        <w:pStyle w:val="Normal"/>
        <w:numPr>
          <w:ilvl w:val="0"/>
          <w:numId w:val="1"/>
        </w:numPr>
        <w:rPr/>
      </w:pPr>
      <w:r>
        <w:rPr>
          <w:b/>
          <w:bCs/>
        </w:rPr>
        <w:t>Allegation 6 – “Justification for Zero Custody”:</w:t>
      </w:r>
      <w:r>
        <w:rPr/>
        <w:t xml:space="preserve"> Emily’s collective narrative to the court is that Andrew is so dangerous or unfit that he should </w:t>
      </w:r>
      <w:r>
        <w:rPr>
          <w:b/>
          <w:bCs/>
        </w:rPr>
        <w:t>have no contact or custody</w:t>
      </w:r>
      <w:r>
        <w:rPr/>
        <w:t>. She obtained an ex parte order on 2025-08-08 suspending Andrew’s parenting time entirely, likely arguing that Lincoln was in immediate harm around him</w:t>
      </w:r>
      <w:hyperlink r:id="rId51">
        <w:r>
          <w:rPr>
            <w:rStyle w:val="Hyperlink"/>
          </w:rPr>
          <w:t>[34]</w:t>
        </w:r>
      </w:hyperlink>
      <w:r>
        <w:rPr/>
        <w:t>. Earlier, she succeeded in reducing his time to supervised or minimal levels based on her claims of abuse.</w:t>
        <w:br/>
      </w:r>
      <w:r>
        <w:rPr>
          <w:b/>
          <w:bCs/>
        </w:rPr>
        <w:t>Contradiction:</w:t>
      </w:r>
      <w:r>
        <w:rPr/>
        <w:t xml:space="preserve"> The evidence in totality points the other way – that </w:t>
      </w:r>
      <w:r>
        <w:rPr>
          <w:b/>
          <w:bCs/>
        </w:rPr>
        <w:t>Lincoln was thriving with Andrew</w:t>
      </w:r>
      <w:r>
        <w:rPr/>
        <w:t xml:space="preserve"> and was harmed by separation. </w:t>
      </w:r>
      <w:r>
        <w:rPr>
          <w:b/>
          <w:bCs/>
        </w:rPr>
        <w:t>AppClose parenting logs</w:t>
      </w:r>
      <w:r>
        <w:rPr/>
        <w:t xml:space="preserve"> and witnesses show Andrew to be a devoted father: Lincoln had strong emotional ties to him and showed distress when those ties were cut off</w:t>
      </w:r>
      <w:hyperlink r:id="rId52">
        <w:r>
          <w:rPr>
            <w:rStyle w:val="Hyperlink"/>
          </w:rPr>
          <w:t>[35]</w:t>
        </w:r>
      </w:hyperlink>
      <w:hyperlink r:id="rId53">
        <w:r>
          <w:rPr>
            <w:rStyle w:val="Hyperlink"/>
          </w:rPr>
          <w:t>[36]</w:t>
        </w:r>
      </w:hyperlink>
      <w:r>
        <w:rPr/>
        <w:t xml:space="preserve">. No evidence of abuse toward the child by Andrew has ever been found by authorities. In fact, the </w:t>
      </w:r>
      <w:r>
        <w:rPr>
          <w:b/>
          <w:bCs/>
        </w:rPr>
        <w:t>court’s own requirement</w:t>
      </w:r>
      <w:r>
        <w:rPr/>
        <w:t xml:space="preserve"> that Andrew get a psychological evaluation before resuming parenting time suggests they expected to find issues – yet the </w:t>
      </w:r>
      <w:r>
        <w:rPr>
          <w:b/>
          <w:bCs/>
        </w:rPr>
        <w:t>evaluation came back normal</w:t>
      </w:r>
      <w:r>
        <w:rPr/>
        <w:t>, removing any legitimate safety concern</w:t>
      </w:r>
      <w:hyperlink r:id="rId54">
        <w:r>
          <w:rPr>
            <w:rStyle w:val="Hyperlink"/>
          </w:rPr>
          <w:t>[32]</w:t>
        </w:r>
      </w:hyperlink>
      <w:r>
        <w:rPr/>
        <w:t xml:space="preserve">. Judge McNeill’s </w:t>
      </w:r>
      <w:r>
        <w:rPr>
          <w:b/>
          <w:bCs/>
        </w:rPr>
        <w:t>ex parte order</w:t>
      </w:r>
      <w:r>
        <w:rPr/>
        <w:t xml:space="preserve"> itself noted she was </w:t>
      </w:r>
      <w:r>
        <w:rPr>
          <w:i/>
          <w:iCs/>
        </w:rPr>
        <w:t>“not satisfied by specific facts”</w:t>
      </w:r>
      <w:r>
        <w:rPr/>
        <w:t xml:space="preserve"> of irreparable harm, which is essentially an admission that </w:t>
      </w:r>
      <w:r>
        <w:rPr>
          <w:b/>
          <w:bCs/>
        </w:rPr>
        <w:t>Emily had not shown concrete evidence of immediate danger</w:t>
      </w:r>
      <w:hyperlink r:id="rId55">
        <w:r>
          <w:rPr>
            <w:rStyle w:val="Hyperlink"/>
          </w:rPr>
          <w:t>[34]</w:t>
        </w:r>
      </w:hyperlink>
      <w:r>
        <w:rPr/>
        <w:t xml:space="preserve">. Granting a total suspension despite that indicates bias rather than evidence-based decision making. Therefore, the claim that Andrew must be kept from his child for Lincoln’s safety is </w:t>
      </w:r>
      <w:r>
        <w:rPr>
          <w:b/>
          <w:bCs/>
        </w:rPr>
        <w:t>not credible</w:t>
      </w:r>
      <w:r>
        <w:rPr/>
        <w:t xml:space="preserve">. It appears to be </w:t>
      </w:r>
      <w:r>
        <w:rPr>
          <w:b/>
          <w:bCs/>
        </w:rPr>
        <w:t>unsupported by facts</w:t>
      </w:r>
      <w:r>
        <w:rPr/>
        <w:t>, and motivated by Emily’s litigation strategy (and perhaps the judge’s predisposition) rather than Lincoln’s welfare.</w:t>
      </w:r>
    </w:p>
    <w:p>
      <w:pPr>
        <w:pStyle w:val="FirstParagraph"/>
        <w:rPr/>
      </w:pPr>
      <w:r>
        <w:rPr>
          <w:i/>
          <w:iCs/>
        </w:rPr>
        <w:t>Summary:</w:t>
      </w:r>
      <w:r>
        <w:rPr/>
        <w:t xml:space="preserve"> Virtually every serious accusation Emily leveled against Andrew – from poisoning and violence to mental instability – is directly refuted by objective evidence (medical reports, police findings, documented communications) or significantly undermined by her own inconsistencies. In contrast, </w:t>
      </w:r>
      <w:r>
        <w:rPr>
          <w:b/>
          <w:bCs/>
        </w:rPr>
        <w:t>Andrew’s claims about Emily’s misconduct</w:t>
      </w:r>
      <w:r>
        <w:rPr/>
        <w:t xml:space="preserve"> (parental alienation, false statements, etc.) are </w:t>
      </w:r>
      <w:r>
        <w:rPr>
          <w:b/>
          <w:bCs/>
        </w:rPr>
        <w:t>corroborated</w:t>
      </w:r>
      <w:r>
        <w:rPr/>
        <w:t xml:space="preserve"> by multiple sources, as detailed later. This </w:t>
      </w:r>
      <w:r>
        <w:rPr>
          <w:b/>
          <w:bCs/>
        </w:rPr>
        <w:t>credibility gap</w:t>
      </w:r>
      <w:r>
        <w:rPr/>
        <w:t xml:space="preserve"> is central to the case: Emily’s word was often taken at face value by the court, whereas Andrew’s contrary evidence was ignored</w:t>
      </w:r>
      <w:hyperlink r:id="rId56">
        <w:r>
          <w:rPr>
            <w:rStyle w:val="Hyperlink"/>
          </w:rPr>
          <w:t>[37]</w:t>
        </w:r>
      </w:hyperlink>
      <w:r>
        <w:rPr/>
        <w:t>. The mapping above will feed into identifying instances of perjury and a pattern of providing false information to the court.</w:t>
      </w:r>
      <w:bookmarkEnd w:id="4"/>
    </w:p>
    <w:p>
      <w:pPr>
        <w:pStyle w:val="Heading2"/>
        <w:rPr/>
      </w:pPr>
      <w:bookmarkStart w:id="5" w:name="Xcd474fc2e6684d702b3103dc8dc86bc828bbc36"/>
      <w:r>
        <w:rPr/>
        <w:t>Violation Detection (Perjury, Procedural Errors, and Misconduct)</w:t>
      </w:r>
    </w:p>
    <w:p>
      <w:pPr>
        <w:pStyle w:val="FirstParagraph"/>
        <w:rPr/>
      </w:pPr>
      <w:r>
        <w:rPr/>
        <w:t xml:space="preserve">Analysis of the evidence has uncovered numerous </w:t>
      </w:r>
      <w:r>
        <w:rPr>
          <w:b/>
          <w:bCs/>
        </w:rPr>
        <w:t>violations</w:t>
      </w:r>
      <w:r>
        <w:rPr/>
        <w:t xml:space="preserve"> — by Emily in terms of false statements and by the court in terms of due process and ethical breaches. Each violation is catalogued below with reference to the Michigan rule or law implicated:</w:t>
      </w:r>
    </w:p>
    <w:p>
      <w:pPr>
        <w:pStyle w:val="Heading3"/>
        <w:rPr/>
      </w:pPr>
      <w:bookmarkStart w:id="6" w:name="X4b9ad7acf57f73ddf316d299e2167d46605b20d"/>
      <w:r>
        <w:rPr/>
        <w:t>False Statements and Potential Perjury by Emily Watson</w:t>
      </w:r>
    </w:p>
    <w:p>
      <w:pPr>
        <w:pStyle w:val="Normal"/>
        <w:numPr>
          <w:ilvl w:val="0"/>
          <w:numId w:val="15"/>
        </w:numPr>
        <w:rPr/>
      </w:pPr>
      <w:r>
        <w:rPr>
          <w:b/>
          <w:bCs/>
        </w:rPr>
        <w:t>False Sworn Allegations in PPO Petition:</w:t>
      </w:r>
      <w:r>
        <w:rPr/>
        <w:t xml:space="preserve"> Emily’s affidavit for the PPO (Nov 2023) contained claims now known to be false – e.g. alleging poisoning and physical abuse</w:t>
      </w:r>
      <w:hyperlink r:id="rId57">
        <w:r>
          <w:rPr>
            <w:rStyle w:val="Hyperlink"/>
          </w:rPr>
          <w:t>[15]</w:t>
        </w:r>
      </w:hyperlink>
      <w:hyperlink r:id="rId58">
        <w:r>
          <w:rPr>
            <w:rStyle w:val="Hyperlink"/>
          </w:rPr>
          <w:t>[26]</w:t>
        </w:r>
      </w:hyperlink>
      <w:r>
        <w:rPr/>
        <w:t xml:space="preserve">. Making knowingly false statements in a sworn court petition constitutes </w:t>
      </w:r>
      <w:r>
        <w:rPr>
          <w:b/>
          <w:bCs/>
        </w:rPr>
        <w:t>perjury</w:t>
      </w:r>
      <w:r>
        <w:rPr/>
        <w:t xml:space="preserve"> (MCL 750.423) and an </w:t>
      </w:r>
      <w:r>
        <w:rPr>
          <w:i/>
          <w:iCs/>
        </w:rPr>
        <w:t>abuse of process</w:t>
      </w:r>
      <w:r>
        <w:rPr/>
        <w:t>. The “mason jar” incident is a clear example: Emily presented a photo of the jar (implying it was evidence of poisoning) despite knowing it was innocuous</w:t>
      </w:r>
      <w:hyperlink r:id="rId59">
        <w:r>
          <w:rPr>
            <w:rStyle w:val="Hyperlink"/>
          </w:rPr>
          <w:t>[16]</w:t>
        </w:r>
      </w:hyperlink>
      <w:r>
        <w:rPr/>
        <w:t xml:space="preserve">. This </w:t>
      </w:r>
      <w:r>
        <w:rPr>
          <w:b/>
          <w:bCs/>
        </w:rPr>
        <w:t>material lie</w:t>
      </w:r>
      <w:r>
        <w:rPr/>
        <w:t xml:space="preserve"> influenced the court to issue a PPO under false pretenses. Each fabricated claim in that petition is a </w:t>
      </w:r>
      <w:r>
        <w:rPr>
          <w:b/>
          <w:bCs/>
        </w:rPr>
        <w:t>violation of the oath</w:t>
      </w:r>
      <w:r>
        <w:rPr/>
        <w:t xml:space="preserve"> she took and of MCR 1.109(D)(3) (which requires truthful statements in pleadings). No charges have been filed for this perjury, but it remains documented.</w:t>
      </w:r>
    </w:p>
    <w:p>
      <w:pPr>
        <w:pStyle w:val="Normal"/>
        <w:numPr>
          <w:ilvl w:val="0"/>
          <w:numId w:val="16"/>
        </w:numPr>
        <w:rPr/>
      </w:pPr>
      <w:r>
        <w:rPr>
          <w:b/>
          <w:bCs/>
        </w:rPr>
        <w:t>False Statements in Financial Disclosures:</w:t>
      </w:r>
      <w:r>
        <w:rPr/>
        <w:t xml:space="preserve"> Emily </w:t>
      </w:r>
      <w:r>
        <w:rPr>
          <w:b/>
          <w:bCs/>
        </w:rPr>
        <w:t>concealed income and support</w:t>
      </w:r>
      <w:r>
        <w:rPr/>
        <w:t xml:space="preserve"> in official child support filings – a violation of her duty of disclosure and potentially perjury on a sworn financial affidavit. Evidence from FOIA results and FOC records revealed she was receiving </w:t>
      </w:r>
      <w:r>
        <w:rPr>
          <w:b/>
          <w:bCs/>
        </w:rPr>
        <w:t>financial support from her brother (Cody)</w:t>
      </w:r>
      <w:r>
        <w:rPr/>
        <w:t xml:space="preserve"> and </w:t>
      </w:r>
      <w:r>
        <w:rPr>
          <w:b/>
          <w:bCs/>
        </w:rPr>
        <w:t>child support from Austin Muratori</w:t>
      </w:r>
      <w:r>
        <w:rPr/>
        <w:t xml:space="preserve">, which she </w:t>
      </w:r>
      <w:r>
        <w:rPr>
          <w:b/>
          <w:bCs/>
        </w:rPr>
        <w:t>failed to report</w:t>
      </w:r>
      <w:r>
        <w:rPr/>
        <w:t xml:space="preserve"> during the support calculation</w:t>
      </w:r>
      <w:hyperlink r:id="rId60">
        <w:r>
          <w:rPr>
            <w:rStyle w:val="Hyperlink"/>
          </w:rPr>
          <w:t>[11]</w:t>
        </w:r>
      </w:hyperlink>
      <w:hyperlink r:id="rId61">
        <w:r>
          <w:rPr>
            <w:rStyle w:val="Hyperlink"/>
          </w:rPr>
          <w:t>[38]</w:t>
        </w:r>
      </w:hyperlink>
      <w:r>
        <w:rPr/>
        <w:t xml:space="preserve">. By omitting these income sources, she secured a higher support order against Andrew than was justified. Submitting false or incomplete information in support proceedings violates </w:t>
      </w:r>
      <w:r>
        <w:rPr>
          <w:b/>
          <w:bCs/>
        </w:rPr>
        <w:t>MCL 552.603</w:t>
      </w:r>
      <w:r>
        <w:rPr/>
        <w:t xml:space="preserve"> (which requires accurate disclosure for child support) and could be pursued as perjury or fraud upon the court. It also violates Michigan Court Rule </w:t>
      </w:r>
      <w:r>
        <w:rPr>
          <w:b/>
          <w:bCs/>
        </w:rPr>
        <w:t>3.206(B)</w:t>
      </w:r>
      <w:r>
        <w:rPr/>
        <w:t xml:space="preserve"> regarding disclosure of income.</w:t>
      </w:r>
    </w:p>
    <w:p>
      <w:pPr>
        <w:pStyle w:val="Normal"/>
        <w:numPr>
          <w:ilvl w:val="0"/>
          <w:numId w:val="17"/>
        </w:numPr>
        <w:rPr/>
      </w:pPr>
      <w:r>
        <w:rPr>
          <w:b/>
          <w:bCs/>
        </w:rPr>
        <w:t>Misrepresentations to Court Officials:</w:t>
      </w:r>
      <w:r>
        <w:rPr/>
        <w:t xml:space="preserve"> In communications with the Friend of the Court and the prosecutor, Emily provided misleading information that was later contradicted. For instance, she alleged Andrew violated the PPO in ways that police said he did not</w:t>
      </w:r>
      <w:hyperlink r:id="rId62">
        <w:r>
          <w:rPr>
            <w:rStyle w:val="Hyperlink"/>
          </w:rPr>
          <w:t>[33]</w:t>
        </w:r>
      </w:hyperlink>
      <w:r>
        <w:rPr/>
        <w:t>. She also attempted to fast-track an ex parte custody change by portraying an emergency where none existed</w:t>
      </w:r>
      <w:hyperlink r:id="rId63">
        <w:r>
          <w:rPr>
            <w:rStyle w:val="Hyperlink"/>
          </w:rPr>
          <w:t>[34]</w:t>
        </w:r>
      </w:hyperlink>
      <w:r>
        <w:rPr/>
        <w:t xml:space="preserve">. These misrepresentations, while not always under oath, contributed to </w:t>
      </w:r>
      <w:r>
        <w:rPr>
          <w:b/>
          <w:bCs/>
        </w:rPr>
        <w:t>due process violations</w:t>
      </w:r>
      <w:r>
        <w:rPr/>
        <w:t xml:space="preserve"> (discussed below) when the court acted on them. They reflect a pattern of </w:t>
      </w:r>
      <w:r>
        <w:rPr>
          <w:b/>
          <w:bCs/>
        </w:rPr>
        <w:t>bad-faith litigation conduct</w:t>
      </w:r>
      <w:r>
        <w:rPr/>
        <w:t xml:space="preserve"> that violates the </w:t>
      </w:r>
      <w:r>
        <w:rPr>
          <w:b/>
          <w:bCs/>
        </w:rPr>
        <w:t>Michigan Rules of Professional Conduct</w:t>
      </w:r>
      <w:r>
        <w:rPr/>
        <w:t xml:space="preserve"> if done through counsel, and in general the </w:t>
      </w:r>
      <w:r>
        <w:rPr>
          <w:b/>
          <w:bCs/>
        </w:rPr>
        <w:t>intent of MCR 1.104</w:t>
      </w:r>
      <w:r>
        <w:rPr/>
        <w:t xml:space="preserve"> (which calls for honesty in proceedings).</w:t>
      </w:r>
    </w:p>
    <w:p>
      <w:pPr>
        <w:pStyle w:val="FirstParagraph"/>
        <w:rPr/>
      </w:pPr>
      <w:r>
        <w:rPr>
          <w:i/>
          <w:iCs/>
        </w:rPr>
        <w:t>Credibility Note:</w:t>
      </w:r>
      <w:r>
        <w:rPr/>
        <w:t xml:space="preserve"> Taken together, Emily’s falsehoods amount to a </w:t>
      </w:r>
      <w:r>
        <w:rPr>
          <w:b/>
          <w:bCs/>
        </w:rPr>
        <w:t>fraud on the court</w:t>
      </w:r>
      <w:r>
        <w:rPr/>
        <w:t xml:space="preserve">. If proven, they not only justify relief in the custody case (e.g. modifying orders obtained by fraud) but also potential sanctions. Each instance where Emily lied under oath is a </w:t>
      </w:r>
      <w:r>
        <w:rPr>
          <w:b/>
          <w:bCs/>
        </w:rPr>
        <w:t>perjury violation</w:t>
      </w:r>
      <w:r>
        <w:rPr/>
        <w:t xml:space="preserve">; each material lie that affected an order (like the PPO) is a </w:t>
      </w:r>
      <w:r>
        <w:rPr>
          <w:b/>
          <w:bCs/>
        </w:rPr>
        <w:t>due process violation</w:t>
      </w:r>
      <w:r>
        <w:rPr/>
        <w:t xml:space="preserve"> against Andrew’s rights. These will be critical in any appeals or motions for relief from judgment (MCR 2.612(C) for fraud).</w:t>
      </w:r>
      <w:bookmarkEnd w:id="6"/>
    </w:p>
    <w:p>
      <w:pPr>
        <w:pStyle w:val="Heading3"/>
        <w:rPr/>
      </w:pPr>
      <w:bookmarkStart w:id="7" w:name="due-process-and-procedural-violations"/>
      <w:r>
        <w:rPr/>
        <w:t>Due Process and Procedural Violations</w:t>
      </w:r>
    </w:p>
    <w:p>
      <w:pPr>
        <w:pStyle w:val="Normal"/>
        <w:numPr>
          <w:ilvl w:val="0"/>
          <w:numId w:val="18"/>
        </w:numPr>
        <w:rPr/>
      </w:pPr>
      <w:r>
        <w:rPr>
          <w:b/>
          <w:bCs/>
        </w:rPr>
        <w:t>Ex Parte Order Without Proper Grounds:</w:t>
      </w:r>
      <w:r>
        <w:rPr/>
        <w:t xml:space="preserve"> On 2025-08-08, Judge McNeill granted Emily’s </w:t>
      </w:r>
      <w:r>
        <w:rPr>
          <w:b/>
          <w:bCs/>
        </w:rPr>
        <w:t>ex parte motion</w:t>
      </w:r>
      <w:r>
        <w:rPr/>
        <w:t xml:space="preserve"> suspending Andrew’s parenting time even though she stated she was “</w:t>
      </w:r>
      <w:r>
        <w:rPr>
          <w:i/>
          <w:iCs/>
        </w:rPr>
        <w:t>not satisfied by specific facts of irreparable injury</w:t>
      </w:r>
      <w:r>
        <w:rPr/>
        <w:t>” in the situation</w:t>
      </w:r>
      <w:hyperlink r:id="rId64">
        <w:r>
          <w:rPr>
            <w:rStyle w:val="Hyperlink"/>
          </w:rPr>
          <w:t>[34]</w:t>
        </w:r>
      </w:hyperlink>
      <w:r>
        <w:rPr/>
        <w:t xml:space="preserve">. Michigan law </w:t>
      </w:r>
      <w:r>
        <w:rPr>
          <w:b/>
          <w:bCs/>
        </w:rPr>
        <w:t>requires</w:t>
      </w:r>
      <w:r>
        <w:rPr/>
        <w:t xml:space="preserve"> specific, immediate harm to justify an ex parte custody order (MCR 3.207(B)(1)). By issuing the order despite the judge’s own admission that such facts were lacking, the court violated </w:t>
      </w:r>
      <w:r>
        <w:rPr>
          <w:b/>
          <w:bCs/>
        </w:rPr>
        <w:t>Andrew’s due process rights</w:t>
      </w:r>
      <w:r>
        <w:rPr/>
        <w:t xml:space="preserve"> under MCR 3.207 and </w:t>
      </w:r>
      <w:r>
        <w:rPr>
          <w:b/>
          <w:bCs/>
        </w:rPr>
        <w:t>MCL 722.27a(1)</w:t>
      </w:r>
      <w:r>
        <w:rPr/>
        <w:t xml:space="preserve"> (which mandates a finding of danger before parenting time can be restricted)</w:t>
      </w:r>
      <w:hyperlink r:id="rId65">
        <w:r>
          <w:rPr>
            <w:rStyle w:val="Hyperlink"/>
          </w:rPr>
          <w:t>[20]</w:t>
        </w:r>
      </w:hyperlink>
      <w:r>
        <w:rPr/>
        <w:t xml:space="preserve">. Andrew was not given a chance to be heard beforehand, and although he filed an </w:t>
      </w:r>
      <w:r>
        <w:rPr>
          <w:b/>
          <w:bCs/>
        </w:rPr>
        <w:t>objection the same day</w:t>
      </w:r>
      <w:r>
        <w:rPr/>
        <w:t>, it was ignored</w:t>
      </w:r>
      <w:hyperlink r:id="rId66">
        <w:r>
          <w:rPr>
            <w:rStyle w:val="Hyperlink"/>
          </w:rPr>
          <w:t>[39]</w:t>
        </w:r>
      </w:hyperlink>
      <w:r>
        <w:rPr/>
        <w:t>. This is a textbook due process violation: a parent’s rights were suspended without notice or a fair hearing, and without the legally required evidentiary showing.</w:t>
      </w:r>
    </w:p>
    <w:p>
      <w:pPr>
        <w:pStyle w:val="Normal"/>
        <w:numPr>
          <w:ilvl w:val="0"/>
          <w:numId w:val="19"/>
        </w:numPr>
        <w:rPr/>
      </w:pPr>
      <w:r>
        <w:rPr>
          <w:b/>
          <w:bCs/>
        </w:rPr>
        <w:t>Denial of Right to be Heard (Muting and Silencing):</w:t>
      </w:r>
      <w:r>
        <w:rPr/>
        <w:t xml:space="preserve"> During multiple hearings, Judge McNeill actively </w:t>
      </w:r>
      <w:r>
        <w:rPr>
          <w:b/>
          <w:bCs/>
        </w:rPr>
        <w:t>prevented Andrew from presenting his defense</w:t>
      </w:r>
      <w:r>
        <w:rPr/>
        <w:t xml:space="preserve">. At a PPO violation hearing on 2025-02-28, the judge </w:t>
      </w:r>
      <w:r>
        <w:rPr>
          <w:b/>
          <w:bCs/>
        </w:rPr>
        <w:t>muted Andrew’s microphone four times</w:t>
      </w:r>
      <w:r>
        <w:rPr/>
        <w:t>, stopping him from speaking in his own defense</w:t>
      </w:r>
      <w:hyperlink r:id="rId67">
        <w:r>
          <w:rPr>
            <w:rStyle w:val="Hyperlink"/>
          </w:rPr>
          <w:t>[40]</w:t>
        </w:r>
      </w:hyperlink>
      <w:r>
        <w:rPr/>
        <w:t xml:space="preserve">. She also refused to let him discuss the context or motives behind Emily’s PPO usage, saying </w:t>
      </w:r>
      <w:r>
        <w:rPr>
          <w:i/>
          <w:iCs/>
        </w:rPr>
        <w:t>“We’re not gonna relitigate that…”</w:t>
      </w:r>
      <w:r>
        <w:rPr/>
        <w:t xml:space="preserve"> and chastising him for filing motions</w:t>
      </w:r>
      <w:hyperlink r:id="rId68">
        <w:r>
          <w:rPr>
            <w:rStyle w:val="Hyperlink"/>
          </w:rPr>
          <w:t>[41]</w:t>
        </w:r>
      </w:hyperlink>
      <w:r>
        <w:rPr/>
        <w:t xml:space="preserve">. This contravenes the fundamental due process right to a meaningful opportunity to be heard. It also goes against </w:t>
      </w:r>
      <w:r>
        <w:rPr>
          <w:b/>
          <w:bCs/>
        </w:rPr>
        <w:t>Michigan case law</w:t>
      </w:r>
      <w:r>
        <w:rPr/>
        <w:t xml:space="preserve"> (e.g., </w:t>
      </w:r>
      <w:r>
        <w:rPr>
          <w:i/>
          <w:iCs/>
        </w:rPr>
        <w:t>People v. Atchison</w:t>
      </w:r>
      <w:r>
        <w:rPr/>
        <w:t>, 465 Mich 446 (2001)) which holds that each party must have a full and fair opportunity to present evidence</w:t>
      </w:r>
      <w:hyperlink r:id="rId69">
        <w:r>
          <w:rPr>
            <w:rStyle w:val="Hyperlink"/>
          </w:rPr>
          <w:t>[42]</w:t>
        </w:r>
      </w:hyperlink>
      <w:r>
        <w:rPr/>
        <w:t xml:space="preserve">. By silencing Andrew and excluding his evidence, the court violated </w:t>
      </w:r>
      <w:r>
        <w:rPr>
          <w:b/>
          <w:bCs/>
        </w:rPr>
        <w:t>MCR 2.513(C)</w:t>
      </w:r>
      <w:r>
        <w:rPr/>
        <w:t xml:space="preserve"> (right to present evidence) and the </w:t>
      </w:r>
      <w:r>
        <w:rPr>
          <w:b/>
          <w:bCs/>
        </w:rPr>
        <w:t>14th Amendment</w:t>
      </w:r>
      <w:r>
        <w:rPr/>
        <w:t xml:space="preserve">’s due process clause as applied in Michigan courts. The </w:t>
      </w:r>
      <w:r>
        <w:rPr>
          <w:b/>
          <w:bCs/>
        </w:rPr>
        <w:t>cumulative effect</w:t>
      </w:r>
      <w:r>
        <w:rPr/>
        <w:t xml:space="preserve"> is that Andrew did not receive a fair hearing on matters affecting his liberty (avoidance of contempt jail time) and custody of his child.</w:t>
      </w:r>
    </w:p>
    <w:p>
      <w:pPr>
        <w:pStyle w:val="Normal"/>
        <w:numPr>
          <w:ilvl w:val="0"/>
          <w:numId w:val="20"/>
        </w:numPr>
        <w:rPr/>
      </w:pPr>
      <w:r>
        <w:rPr>
          <w:b/>
          <w:bCs/>
        </w:rPr>
        <w:t>Ignoring Exculpatory Evidence:</w:t>
      </w:r>
      <w:r>
        <w:rPr/>
        <w:t xml:space="preserve"> The court’s handling of evidence was one-sided. For example, </w:t>
      </w:r>
      <w:r>
        <w:rPr>
          <w:b/>
          <w:bCs/>
        </w:rPr>
        <w:t>Muskegon PD’s report</w:t>
      </w:r>
      <w:r>
        <w:rPr/>
        <w:t xml:space="preserve"> finding no PPO violation (an exculpatory piece) was </w:t>
      </w:r>
      <w:r>
        <w:rPr>
          <w:b/>
          <w:bCs/>
        </w:rPr>
        <w:t>explicitly brought to Judge McNeill’s attention</w:t>
      </w:r>
      <w:r>
        <w:rPr/>
        <w:t>, yet she proceeded to find Andrew at fault</w:t>
      </w:r>
      <w:hyperlink r:id="rId70">
        <w:r>
          <w:rPr>
            <w:rStyle w:val="Hyperlink"/>
          </w:rPr>
          <w:t>[33]</w:t>
        </w:r>
      </w:hyperlink>
      <w:r>
        <w:rPr/>
        <w:t xml:space="preserve">. Similarly, emails that </w:t>
      </w:r>
      <w:r>
        <w:rPr>
          <w:b/>
          <w:bCs/>
        </w:rPr>
        <w:t>proved Emily’s misrepresentation</w:t>
      </w:r>
      <w:r>
        <w:rPr/>
        <w:t xml:space="preserve"> of facts were not considered</w:t>
      </w:r>
      <w:hyperlink r:id="rId71">
        <w:r>
          <w:rPr>
            <w:rStyle w:val="Hyperlink"/>
          </w:rPr>
          <w:t>[43]</w:t>
        </w:r>
      </w:hyperlink>
      <w:r>
        <w:rPr/>
        <w:t xml:space="preserve">. This contravenes the principle that courts should weigh all relevant evidence. By </w:t>
      </w:r>
      <w:r>
        <w:rPr>
          <w:b/>
          <w:bCs/>
        </w:rPr>
        <w:t>excluding or ignoring evidence favorable to Andrew</w:t>
      </w:r>
      <w:r>
        <w:rPr/>
        <w:t xml:space="preserve">, the court violated </w:t>
      </w:r>
      <w:r>
        <w:rPr>
          <w:b/>
          <w:bCs/>
        </w:rPr>
        <w:t>MRE 401-403</w:t>
      </w:r>
      <w:r>
        <w:rPr/>
        <w:t xml:space="preserve"> (by effectively excluding relevant evidence without justification) and </w:t>
      </w:r>
      <w:r>
        <w:rPr>
          <w:b/>
          <w:bCs/>
        </w:rPr>
        <w:t>MCR 2.613(A)</w:t>
      </w:r>
      <w:r>
        <w:rPr/>
        <w:t xml:space="preserve"> (which forbids ignoring material evidence). It demonstrates a bias that amounts to a due process violation, since the court was not acting as a neutral arbiter. Michigan’s disqualification rule </w:t>
      </w:r>
      <w:r>
        <w:rPr>
          <w:b/>
          <w:bCs/>
        </w:rPr>
        <w:t>MCR 2.003(C)(1)(a)</w:t>
      </w:r>
      <w:r>
        <w:rPr/>
        <w:t xml:space="preserve"> is triggered when a judge is biased or has prejudged a case – here, the consistent disregard of one side’s evidence suggests such bias</w:t>
      </w:r>
      <w:hyperlink r:id="rId72">
        <w:r>
          <w:rPr>
            <w:rStyle w:val="Hyperlink"/>
          </w:rPr>
          <w:t>[37]</w:t>
        </w:r>
      </w:hyperlink>
      <w:r>
        <w:rPr/>
        <w:t>.</w:t>
      </w:r>
    </w:p>
    <w:p>
      <w:pPr>
        <w:pStyle w:val="Normal"/>
        <w:numPr>
          <w:ilvl w:val="0"/>
          <w:numId w:val="21"/>
        </w:numPr>
        <w:rPr/>
      </w:pPr>
      <w:r>
        <w:rPr>
          <w:b/>
          <w:bCs/>
        </w:rPr>
        <w:t>Failure to Provide Fair Notice &amp; Service:</w:t>
      </w:r>
      <w:r>
        <w:rPr/>
        <w:t xml:space="preserve"> Proper service of motions and notice of hearings are basic due process requirements (MCR 2.107(C)). Emily </w:t>
      </w:r>
      <w:r>
        <w:rPr>
          <w:b/>
          <w:bCs/>
        </w:rPr>
        <w:t>failed to serve Andrew with motion paperwork</w:t>
      </w:r>
      <w:r>
        <w:rPr/>
        <w:t xml:space="preserve"> for at least one critical hearing – Andrew only obtained it last-minute from the court clerk</w:t>
      </w:r>
      <w:hyperlink r:id="rId73">
        <w:r>
          <w:rPr>
            <w:rStyle w:val="Hyperlink"/>
          </w:rPr>
          <w:t>[44]</w:t>
        </w:r>
      </w:hyperlink>
      <w:r>
        <w:rPr/>
        <w:t xml:space="preserve">. This is a direct violation of </w:t>
      </w:r>
      <w:r>
        <w:rPr>
          <w:b/>
          <w:bCs/>
        </w:rPr>
        <w:t>MCR 2.107(B)</w:t>
      </w:r>
      <w:r>
        <w:rPr/>
        <w:t xml:space="preserve"> (service of written motions) and </w:t>
      </w:r>
      <w:r>
        <w:rPr>
          <w:b/>
          <w:bCs/>
        </w:rPr>
        <w:t>MCR 2.119</w:t>
      </w:r>
      <w:r>
        <w:rPr/>
        <w:t xml:space="preserve"> (motion procedure). Despite the lack of service, the hearing apparently proceeded, meaning Andrew was ambushed with arguments/evidence he hadn’t seen. Additionally, some of Emily’s evidence (like the recordings on a flash drive) was </w:t>
      </w:r>
      <w:r>
        <w:rPr>
          <w:b/>
          <w:bCs/>
        </w:rPr>
        <w:t>given to the court outside of formal filing</w:t>
      </w:r>
      <w:r>
        <w:rPr/>
        <w:t xml:space="preserve">, and Andrew received access to it </w:t>
      </w:r>
      <w:r>
        <w:rPr>
          <w:b/>
          <w:bCs/>
        </w:rPr>
        <w:t>a week after the hearing</w:t>
      </w:r>
      <w:hyperlink r:id="rId74">
        <w:r>
          <w:rPr>
            <w:rStyle w:val="Hyperlink"/>
          </w:rPr>
          <w:t>[45]</w:t>
        </w:r>
      </w:hyperlink>
      <w:r>
        <w:rPr/>
        <w:t xml:space="preserve">. That violates not only court rules on evidence exchange but also </w:t>
      </w:r>
      <w:r>
        <w:rPr>
          <w:b/>
          <w:bCs/>
        </w:rPr>
        <w:t>MCR 2.302</w:t>
      </w:r>
      <w:r>
        <w:rPr/>
        <w:t xml:space="preserve"> (requiring timely exchange of evidence in civil proceedings). The Friend of the Court public defender even noted she would not object to lack of notice “simply because there was none,” a troubling stance that nonetheless confirms </w:t>
      </w:r>
      <w:r>
        <w:rPr>
          <w:b/>
          <w:bCs/>
        </w:rPr>
        <w:t>notice was lacking</w:t>
      </w:r>
      <w:r>
        <w:fldChar w:fldCharType="begin"/>
      </w:r>
      <w:r>
        <w:rPr>
          <w:rStyle w:val="Hyperlink"/>
        </w:rPr>
        <w:instrText xml:space="preserve"> HYPERLINK "https://mail.google.com/mail/u/0/" \l "all/19740f355b677daa"</w:instrText>
      </w:r>
      <w:r>
        <w:rPr>
          <w:rStyle w:val="Hyperlink"/>
        </w:rPr>
        <w:fldChar w:fldCharType="separate"/>
      </w:r>
      <w:r>
        <w:rPr>
          <w:rStyle w:val="Hyperlink"/>
        </w:rPr>
        <w:t>[46]</w:t>
      </w:r>
      <w:r>
        <w:rPr>
          <w:rStyle w:val="Hyperlink"/>
        </w:rPr>
        <w:fldChar w:fldCharType="end"/>
      </w:r>
      <w:r>
        <w:fldChar w:fldCharType="begin"/>
      </w:r>
      <w:r>
        <w:rPr>
          <w:rStyle w:val="Hyperlink"/>
        </w:rPr>
        <w:instrText xml:space="preserve"> HYPERLINK "https://mail.google.com/mail/u/0/" \l "all/19740f355b677daa"</w:instrText>
      </w:r>
      <w:r>
        <w:rPr>
          <w:rStyle w:val="Hyperlink"/>
        </w:rPr>
        <w:fldChar w:fldCharType="separate"/>
      </w:r>
      <w:r>
        <w:rPr>
          <w:rStyle w:val="Hyperlink"/>
        </w:rPr>
        <w:t>[47]</w:t>
      </w:r>
      <w:r>
        <w:rPr>
          <w:rStyle w:val="Hyperlink"/>
        </w:rPr>
        <w:fldChar w:fldCharType="end"/>
      </w:r>
      <w:r>
        <w:rPr/>
        <w:t>. All these service defects deprived Andrew of the opportunity to prepare and respond, undermining his right to due process.</w:t>
      </w:r>
    </w:p>
    <w:p>
      <w:pPr>
        <w:pStyle w:val="Normal"/>
        <w:numPr>
          <w:ilvl w:val="0"/>
          <w:numId w:val="22"/>
        </w:numPr>
        <w:rPr/>
      </w:pPr>
      <w:r>
        <w:rPr>
          <w:b/>
          <w:bCs/>
        </w:rPr>
        <w:t>Delays and Denial of Speedy Resolution:</w:t>
      </w:r>
      <w:r>
        <w:rPr/>
        <w:t xml:space="preserve"> While not a formal violation of a specific rule, it’s notable that the handling of Andrew’s objections and motions was dilatory. For instance, Andrew’s </w:t>
      </w:r>
      <w:r>
        <w:rPr>
          <w:b/>
          <w:bCs/>
        </w:rPr>
        <w:t>objection to the ex parte order</w:t>
      </w:r>
      <w:r>
        <w:rPr/>
        <w:t xml:space="preserve"> (filed August 8, 2025) should have led to a hearing within 14 days under MCR 3.207(B)(5); however, the record suggests the judge did not promptly schedule such a hearing (the next major order came a month later, in early September)</w:t>
      </w:r>
      <w:hyperlink r:id="rId75">
        <w:r>
          <w:rPr>
            <w:rStyle w:val="Hyperlink"/>
          </w:rPr>
          <w:t>[48]</w:t>
        </w:r>
      </w:hyperlink>
      <w:hyperlink r:id="rId76">
        <w:r>
          <w:rPr>
            <w:rStyle w:val="Hyperlink"/>
          </w:rPr>
          <w:t>[49]</w:t>
        </w:r>
      </w:hyperlink>
      <w:r>
        <w:rPr/>
        <w:t xml:space="preserve">. This delay extended the period he was entirely denied contact with his son without a chance to contest it – effectively a </w:t>
      </w:r>
      <w:r>
        <w:rPr>
          <w:b/>
          <w:bCs/>
        </w:rPr>
        <w:t>due process lapse</w:t>
      </w:r>
      <w:r>
        <w:rPr/>
        <w:t>. Timeliness is part of due process in family court when fundamental rights are at stake, and here that standard was not met.</w:t>
      </w:r>
    </w:p>
    <w:p>
      <w:pPr>
        <w:pStyle w:val="Normal"/>
        <w:numPr>
          <w:ilvl w:val="0"/>
          <w:numId w:val="23"/>
        </w:numPr>
        <w:rPr/>
      </w:pPr>
      <w:r>
        <w:rPr>
          <w:b/>
          <w:bCs/>
        </w:rPr>
        <w:t>Denial of Effective Counsel/Accommodation:</w:t>
      </w:r>
      <w:r>
        <w:rPr/>
        <w:t xml:space="preserve"> In the PPO contempt proceedings, Andrew was appointed a public defender (Ms. Martini) for the quasi-criminal aspects. However, he effectively </w:t>
      </w:r>
      <w:r>
        <w:rPr>
          <w:b/>
          <w:bCs/>
        </w:rPr>
        <w:t>received no benefit of counsel</w:t>
      </w:r>
      <w:r>
        <w:rPr/>
        <w:t xml:space="preserve"> at critical moments – his public defender missed at least one hearing and conceded points without making objections Andrew felt were crucial</w:t>
      </w:r>
      <w:r>
        <w:fldChar w:fldCharType="begin"/>
      </w:r>
      <w:r>
        <w:rPr>
          <w:rStyle w:val="Hyperlink"/>
        </w:rPr>
        <w:instrText xml:space="preserve"> HYPERLINK "https://mail.google.com/mail/u/0/" \l "all/19740f355b677daa"</w:instrText>
      </w:r>
      <w:r>
        <w:rPr>
          <w:rStyle w:val="Hyperlink"/>
        </w:rPr>
        <w:fldChar w:fldCharType="separate"/>
      </w:r>
      <w:r>
        <w:rPr>
          <w:rStyle w:val="Hyperlink"/>
        </w:rPr>
        <w:t>[50]</w:t>
      </w:r>
      <w:r>
        <w:rPr>
          <w:rStyle w:val="Hyperlink"/>
        </w:rPr>
        <w:fldChar w:fldCharType="end"/>
      </w:r>
      <w:r>
        <w:fldChar w:fldCharType="begin"/>
      </w:r>
      <w:r>
        <w:rPr>
          <w:rStyle w:val="Hyperlink"/>
        </w:rPr>
        <w:instrText xml:space="preserve"> HYPERLINK "https://mail.google.com/mail/u/0/" \l "all/19740f355b677daa"</w:instrText>
      </w:r>
      <w:r>
        <w:rPr>
          <w:rStyle w:val="Hyperlink"/>
        </w:rPr>
        <w:fldChar w:fldCharType="separate"/>
      </w:r>
      <w:r>
        <w:rPr>
          <w:rStyle w:val="Hyperlink"/>
        </w:rPr>
        <w:t>[47]</w:t>
      </w:r>
      <w:r>
        <w:rPr>
          <w:rStyle w:val="Hyperlink"/>
        </w:rPr>
        <w:fldChar w:fldCharType="end"/>
      </w:r>
      <w:r>
        <w:rPr/>
        <w:t xml:space="preserve">. Judge McNeill did not intervene to ensure Andrew’s rights were protected despite noticing the deficiencies (e.g., she allowed the PD to waive arguments about lack of notice). Additionally, Andrew’s </w:t>
      </w:r>
      <w:r>
        <w:rPr>
          <w:b/>
          <w:bCs/>
        </w:rPr>
        <w:t>ADHD condition</w:t>
      </w:r>
      <w:r>
        <w:rPr/>
        <w:t xml:space="preserve"> was known to the court, yet </w:t>
      </w:r>
      <w:r>
        <w:rPr>
          <w:b/>
          <w:bCs/>
        </w:rPr>
        <w:t>no accommodation</w:t>
      </w:r>
      <w:r>
        <w:rPr/>
        <w:t xml:space="preserve"> was offered; instead, the judge made a sarcastic remark (“</w:t>
      </w:r>
      <w:r>
        <w:rPr>
          <w:i/>
          <w:iCs/>
        </w:rPr>
        <w:t>Yeah, it’s your head alright</w:t>
      </w:r>
      <w:r>
        <w:rPr/>
        <w:t>”) when the issue was raised</w:t>
      </w:r>
      <w:hyperlink r:id="rId77">
        <w:r>
          <w:rPr>
            <w:rStyle w:val="Hyperlink"/>
          </w:rPr>
          <w:t>[51]</w:t>
        </w:r>
      </w:hyperlink>
      <w:r>
        <w:rPr/>
        <w:t xml:space="preserve">. Under </w:t>
      </w:r>
      <w:r>
        <w:rPr>
          <w:b/>
          <w:bCs/>
        </w:rPr>
        <w:t>ADA Title II</w:t>
      </w:r>
      <w:r>
        <w:rPr/>
        <w:t xml:space="preserve">, courts must accommodate disabilities to ensure full participation. Failing to do so – and worse, </w:t>
      </w:r>
      <w:r>
        <w:rPr>
          <w:i/>
          <w:iCs/>
        </w:rPr>
        <w:t>mocking</w:t>
      </w:r>
      <w:r>
        <w:rPr/>
        <w:t xml:space="preserve"> the condition on record – violated Andrew’s rights to equal access and contributed to procedural unfairness. The Michigan Supreme Court’s rules encourage reasonable accommodations for pro se litigants with impairments; those were wholly absent here. This pattern (denial of counsel effectiveness and disability accommodation) further underlines a </w:t>
      </w:r>
      <w:r>
        <w:rPr>
          <w:b/>
          <w:bCs/>
        </w:rPr>
        <w:t>due process deprivation</w:t>
      </w:r>
      <w:r>
        <w:rPr/>
        <w:t>.</w:t>
      </w:r>
    </w:p>
    <w:p>
      <w:pPr>
        <w:pStyle w:val="FirstParagraph"/>
        <w:rPr/>
      </w:pPr>
      <w:r>
        <w:rPr/>
        <w:t xml:space="preserve">In summary, the procedural history is replete with </w:t>
      </w:r>
      <w:r>
        <w:rPr>
          <w:b/>
          <w:bCs/>
        </w:rPr>
        <w:t>due process violations</w:t>
      </w:r>
      <w:r>
        <w:rPr/>
        <w:t>: ex parte orders without proper cause, lack of notice/service, refusal to hear one side, and a biased evidentiary gatekeeping. These violations contravene Michigan court rules and constitutional principles, and they form strong grounds for appellate relief or other remedial action.</w:t>
      </w:r>
      <w:bookmarkEnd w:id="7"/>
    </w:p>
    <w:p>
      <w:pPr>
        <w:pStyle w:val="Heading3"/>
        <w:rPr/>
      </w:pPr>
      <w:bookmarkStart w:id="8" w:name="X69a423095ee6d18869d8c19b1dae8a4d3272815"/>
      <w:r>
        <w:rPr/>
        <w:t>Judicial Misconduct and Ethical Violations (Judge McNeill)</w:t>
      </w:r>
    </w:p>
    <w:p>
      <w:pPr>
        <w:pStyle w:val="FirstParagraph"/>
        <w:rPr/>
      </w:pPr>
      <w:r>
        <w:rPr/>
        <w:t xml:space="preserve">Beyond procedural errors, evidence indicates </w:t>
      </w:r>
      <w:r>
        <w:rPr>
          <w:b/>
          <w:bCs/>
        </w:rPr>
        <w:t>Judge Jenny McNeill engaged in conduct that violates judicial canons and showed bias</w:t>
      </w:r>
      <w:r>
        <w:rPr/>
        <w:t>:</w:t>
      </w:r>
    </w:p>
    <w:p>
      <w:pPr>
        <w:pStyle w:val="Normal"/>
        <w:numPr>
          <w:ilvl w:val="0"/>
          <w:numId w:val="24"/>
        </w:numPr>
        <w:rPr/>
      </w:pPr>
      <w:r>
        <w:rPr>
          <w:b/>
          <w:bCs/>
        </w:rPr>
        <w:t>Appearance of Bias and Partiality:</w:t>
      </w:r>
      <w:r>
        <w:rPr/>
        <w:t xml:space="preserve"> Since at least April 2024, Judge McNeill has </w:t>
      </w:r>
      <w:r>
        <w:rPr>
          <w:b/>
          <w:bCs/>
        </w:rPr>
        <w:t>consistently favored Emily’s side</w:t>
      </w:r>
      <w:r>
        <w:rPr/>
        <w:t xml:space="preserve"> – admitting Emily’s evidence (even if irrelevant or unauthenticated) while </w:t>
      </w:r>
      <w:r>
        <w:rPr>
          <w:b/>
          <w:bCs/>
        </w:rPr>
        <w:t>refusing to even look at Andrew’s exhibits</w:t>
      </w:r>
      <w:hyperlink r:id="rId78">
        <w:r>
          <w:rPr>
            <w:rStyle w:val="Hyperlink"/>
          </w:rPr>
          <w:t>[37]</w:t>
        </w:r>
      </w:hyperlink>
      <w:r>
        <w:rPr/>
        <w:t xml:space="preserve">. This double standard creates at least an </w:t>
      </w:r>
      <w:r>
        <w:rPr>
          <w:i/>
          <w:iCs/>
        </w:rPr>
        <w:t>appearance</w:t>
      </w:r>
      <w:r>
        <w:rPr/>
        <w:t xml:space="preserve"> of bias, if not actual bias. Under </w:t>
      </w:r>
      <w:r>
        <w:rPr>
          <w:b/>
          <w:bCs/>
        </w:rPr>
        <w:t>MCR 2.003(C)(1)(a)</w:t>
      </w:r>
      <w:r>
        <w:rPr/>
        <w:t xml:space="preserve">, a judge must be disqualified if they are biased or prejudiced against a party, and Canon </w:t>
      </w:r>
      <w:r>
        <w:rPr>
          <w:b/>
          <w:bCs/>
        </w:rPr>
        <w:t>2(A)</w:t>
      </w:r>
      <w:r>
        <w:rPr/>
        <w:t xml:space="preserve"> of the Michigan Code of Judicial Conduct requires judges to avoid even the appearance of impropriety. Examples: She believed Emily’s unverified allegations but ignored police reports and app logs that contradicted Emily</w:t>
      </w:r>
      <w:hyperlink r:id="rId79">
        <w:r>
          <w:rPr>
            <w:rStyle w:val="Hyperlink"/>
          </w:rPr>
          <w:t>[37]</w:t>
        </w:r>
      </w:hyperlink>
      <w:r>
        <w:rPr/>
        <w:t>; she accepted testimony from Emily’s father (who clearly had hostile involvement) while dismissing Andrew’s concerns about that conflict</w:t>
      </w:r>
      <w:hyperlink r:id="rId80">
        <w:r>
          <w:rPr>
            <w:rStyle w:val="Hyperlink"/>
          </w:rPr>
          <w:t>[52]</w:t>
        </w:r>
      </w:hyperlink>
      <w:r>
        <w:rPr/>
        <w:t xml:space="preserve">. A reasonable observer would question the judge’s impartiality in this case. Indeed, Andrew filed a </w:t>
      </w:r>
      <w:r>
        <w:rPr>
          <w:b/>
          <w:bCs/>
        </w:rPr>
        <w:t>Motion to Disqualify Judge McNeill</w:t>
      </w:r>
      <w:r>
        <w:rPr/>
        <w:t xml:space="preserve"> on March 4, 2025 citing these issues</w:t>
      </w:r>
      <w:hyperlink r:id="rId81">
        <w:r>
          <w:rPr>
            <w:rStyle w:val="Hyperlink"/>
          </w:rPr>
          <w:t>[53]</w:t>
        </w:r>
      </w:hyperlink>
      <w:r>
        <w:rPr/>
        <w:t>, detailing how her rulings relied solely on Emily’s unproven claims and speculation</w:t>
      </w:r>
      <w:hyperlink r:id="rId82">
        <w:r>
          <w:rPr>
            <w:rStyle w:val="Hyperlink"/>
          </w:rPr>
          <w:t>[17]</w:t>
        </w:r>
      </w:hyperlink>
      <w:r>
        <w:rPr/>
        <w:t xml:space="preserve">. This motion itself is evidence of perceived judicial misconduct. Although that motion was presumably denied by the judge or the Chief Judge, the documented instances (muting defendant, ignoring evidence, making prejudicial statements) likely violate </w:t>
      </w:r>
      <w:r>
        <w:rPr>
          <w:b/>
          <w:bCs/>
        </w:rPr>
        <w:t>MCR 2.003(C)(1)(c)</w:t>
      </w:r>
      <w:r>
        <w:rPr/>
        <w:t xml:space="preserve"> (appearance of impropriety) as well as </w:t>
      </w:r>
      <w:r>
        <w:rPr>
          <w:b/>
          <w:bCs/>
        </w:rPr>
        <w:t>Canon 3(C)</w:t>
      </w:r>
      <w:r>
        <w:rPr/>
        <w:t xml:space="preserve"> (a judge should disqualify herself if impartiality might reasonably be questioned).</w:t>
      </w:r>
    </w:p>
    <w:p>
      <w:pPr>
        <w:pStyle w:val="Normal"/>
        <w:numPr>
          <w:ilvl w:val="0"/>
          <w:numId w:val="25"/>
        </w:numPr>
        <w:rPr/>
      </w:pPr>
      <w:r>
        <w:rPr>
          <w:b/>
          <w:bCs/>
        </w:rPr>
        <w:t>Ex Parte Communications / Evidence Off the Record:</w:t>
      </w:r>
      <w:r>
        <w:rPr/>
        <w:t xml:space="preserve"> Judge McNeill engaged in highly improper handling of evidence. She had </w:t>
      </w:r>
      <w:r>
        <w:rPr>
          <w:b/>
          <w:bCs/>
        </w:rPr>
        <w:t>court staff privately listen to a USB drive</w:t>
      </w:r>
      <w:r>
        <w:rPr/>
        <w:t xml:space="preserve"> of audio that Emily provided, instead of reviewing evidence only in open court or on the record</w:t>
      </w:r>
      <w:hyperlink r:id="rId83">
        <w:r>
          <w:rPr>
            <w:rStyle w:val="Hyperlink"/>
          </w:rPr>
          <w:t>[28]</w:t>
        </w:r>
      </w:hyperlink>
      <w:r>
        <w:rPr/>
        <w:t xml:space="preserve">. This is a blatant violation of </w:t>
      </w:r>
      <w:r>
        <w:rPr>
          <w:b/>
          <w:bCs/>
        </w:rPr>
        <w:t>Canon 3(A)(4)</w:t>
      </w:r>
      <w:r>
        <w:rPr/>
        <w:t xml:space="preserve">, which forbids a judge from considering ex parte or extrajudicial evidence. The audio in question was not admitted through the normal process; Andrew had no opportunity to challenge or respond to it at that time. Moreover, the judge </w:t>
      </w:r>
      <w:r>
        <w:rPr>
          <w:b/>
          <w:bCs/>
        </w:rPr>
        <w:t>instructed Andrew to submit his HealthWest mental evaluation privately to her secretary and “not to file it with the clerk,”</w:t>
      </w:r>
      <w:r>
        <w:rPr/>
        <w:t xml:space="preserve"> thereby keeping it off the official record</w:t>
      </w:r>
      <w:hyperlink r:id="rId84">
        <w:r>
          <w:rPr>
            <w:rStyle w:val="Hyperlink"/>
          </w:rPr>
          <w:t>[54]</w:t>
        </w:r>
      </w:hyperlink>
      <w:r>
        <w:rPr/>
        <w:t xml:space="preserve">. This violates </w:t>
      </w:r>
      <w:r>
        <w:rPr>
          <w:b/>
          <w:bCs/>
        </w:rPr>
        <w:t>MCR 8.119(F)</w:t>
      </w:r>
      <w:r>
        <w:rPr/>
        <w:t xml:space="preserve"> which mandates all documents considered by the court be filed in the record. By soliciting evidence outside the record and preventing a paper trail, the judge breached procedural rules and raised serious fairness concerns. It’s an </w:t>
      </w:r>
      <w:r>
        <w:rPr>
          <w:b/>
          <w:bCs/>
        </w:rPr>
        <w:t>improper ex parte communication</w:t>
      </w:r>
      <w:r>
        <w:rPr/>
        <w:t xml:space="preserve"> in effect, because Andrew’s report was reviewed outside of formal proceedings, and Emily (or any future reviewer like an appellate court) wouldn’t see it in the case file. All of these actions subvert the transparency and balance of the adversary process.</w:t>
      </w:r>
    </w:p>
    <w:p>
      <w:pPr>
        <w:pStyle w:val="Normal"/>
        <w:numPr>
          <w:ilvl w:val="0"/>
          <w:numId w:val="26"/>
        </w:numPr>
        <w:rPr/>
      </w:pPr>
      <w:r>
        <w:rPr>
          <w:b/>
          <w:bCs/>
        </w:rPr>
        <w:t>Improper Judicial Remarks and Demeanor:</w:t>
      </w:r>
      <w:r>
        <w:rPr/>
        <w:t xml:space="preserve"> The judge’s comments on record show a lack of impartiality and decorum. She dismissed Andrew’s attempts to outline his case by saying </w:t>
      </w:r>
      <w:r>
        <w:rPr>
          <w:i/>
          <w:iCs/>
        </w:rPr>
        <w:t>“we’re not going to keep filing and filing…”</w:t>
      </w:r>
      <w:r>
        <w:rPr/>
        <w:t>, effectively scolding him for seeking relief</w:t>
      </w:r>
      <w:hyperlink r:id="rId85">
        <w:r>
          <w:rPr>
            <w:rStyle w:val="Hyperlink"/>
          </w:rPr>
          <w:t>[41]</w:t>
        </w:r>
      </w:hyperlink>
      <w:r>
        <w:rPr/>
        <w:t>. When Andrew’s ADHD was mentioned, she responded sarcastically (“</w:t>
      </w:r>
      <w:r>
        <w:rPr>
          <w:i/>
          <w:iCs/>
        </w:rPr>
        <w:t>Yeah, it’s your head alright</w:t>
      </w:r>
      <w:r>
        <w:rPr/>
        <w:t>”)</w:t>
      </w:r>
      <w:hyperlink r:id="rId86">
        <w:r>
          <w:rPr>
            <w:rStyle w:val="Hyperlink"/>
          </w:rPr>
          <w:t>[55]</w:t>
        </w:r>
      </w:hyperlink>
      <w:r>
        <w:rPr/>
        <w:t xml:space="preserve">. These remarks violate </w:t>
      </w:r>
      <w:r>
        <w:rPr>
          <w:b/>
          <w:bCs/>
        </w:rPr>
        <w:t>Canon 3(A)(3)</w:t>
      </w:r>
      <w:r>
        <w:rPr/>
        <w:t xml:space="preserve">, which requires judges to be patient, dignified, and courteous, and further indicate she prejudged Andrew as simply a vexatious litigant. Additionally, by imposing a </w:t>
      </w:r>
      <w:r>
        <w:rPr>
          <w:b/>
          <w:bCs/>
        </w:rPr>
        <w:t>$250 “filing fee deposit”</w:t>
      </w:r>
      <w:r>
        <w:rPr/>
        <w:t xml:space="preserve"> before Andrew could file further motions, Judge McNeill treated him as a nuisance rather than a litigant with rights. Michigan court rules do allow sanctions for frivolous filings, but requiring a bond preemptively is extraordinary and typically requires a specific finding or an order declaring someone a vexatious litigant (MCR 3.501(C) or MCR 2.114). Here it appears the judge unilaterally imposed this barrier after a May 2025 hearing, without due process. This punitive measure, combined with her mocking tone, suggests </w:t>
      </w:r>
      <w:r>
        <w:rPr>
          <w:b/>
          <w:bCs/>
        </w:rPr>
        <w:t>judicial misconduct</w:t>
      </w:r>
      <w:r>
        <w:rPr/>
        <w:t xml:space="preserve"> in the form of hostility toward one party.</w:t>
      </w:r>
    </w:p>
    <w:p>
      <w:pPr>
        <w:pStyle w:val="Normal"/>
        <w:numPr>
          <w:ilvl w:val="0"/>
          <w:numId w:val="27"/>
        </w:numPr>
        <w:rPr/>
      </w:pPr>
      <w:r>
        <w:rPr>
          <w:b/>
          <w:bCs/>
        </w:rPr>
        <w:t>Failure to Recuse Despite Conflict of Overlapping Cases:</w:t>
      </w:r>
      <w:r>
        <w:rPr/>
        <w:t xml:space="preserve"> Judge McNeill kept jurisdiction over both the PPO case and the custody case. Andrew argued this was an inherent conflict – decisions in one influenced the other</w:t>
      </w:r>
      <w:hyperlink r:id="rId87">
        <w:r>
          <w:rPr>
            <w:rStyle w:val="Hyperlink"/>
          </w:rPr>
          <w:t>[56]</w:t>
        </w:r>
      </w:hyperlink>
      <w:r>
        <w:rPr/>
        <w:t xml:space="preserve">. For instance, the existence of the PPO (which she herself had upheld) was then used as a basis to restrict custody, creating a </w:t>
      </w:r>
      <w:r>
        <w:rPr>
          <w:b/>
          <w:bCs/>
        </w:rPr>
        <w:t>self-reinforcing bias</w:t>
      </w:r>
      <w:r>
        <w:rPr/>
        <w:t xml:space="preserve">. Under </w:t>
      </w:r>
      <w:r>
        <w:rPr>
          <w:b/>
          <w:bCs/>
        </w:rPr>
        <w:t>MCR 2.003(C)(1)(b)</w:t>
      </w:r>
      <w:r>
        <w:rPr/>
        <w:t>, a judge should be disqualified if they have personal knowledge of disputed facts from outside the current proceeding. By hearing the custody matter after already forming opinions in the PPO case, Judge McNeill arguably could not be impartial. The safer course would have been to recuse from one of the cases or consolidate them before a different judge. Her refusal to do so and the resultant zero-custody outcome for Andrew “based entirely on character assassination… and speculation” (as Andrew described)</w:t>
      </w:r>
      <w:hyperlink r:id="rId88">
        <w:r>
          <w:rPr>
            <w:rStyle w:val="Hyperlink"/>
          </w:rPr>
          <w:t>[17]</w:t>
        </w:r>
      </w:hyperlink>
      <w:r>
        <w:rPr/>
        <w:t xml:space="preserve"> is evidence of </w:t>
      </w:r>
      <w:r>
        <w:rPr>
          <w:b/>
          <w:bCs/>
        </w:rPr>
        <w:t>abuse of discretion</w:t>
      </w:r>
      <w:r>
        <w:rPr/>
        <w:t xml:space="preserve"> and possibly an </w:t>
      </w:r>
      <w:r>
        <w:rPr>
          <w:b/>
          <w:bCs/>
        </w:rPr>
        <w:t>ethical lapse</w:t>
      </w:r>
      <w:r>
        <w:rPr/>
        <w:t xml:space="preserve"> in judgment. It certainly undermined confidence in an impartial tribunal, contrary to </w:t>
      </w:r>
      <w:r>
        <w:rPr>
          <w:b/>
          <w:bCs/>
        </w:rPr>
        <w:t>Canon 2(A)</w:t>
      </w:r>
      <w:r>
        <w:rPr/>
        <w:t>.</w:t>
      </w:r>
    </w:p>
    <w:p>
      <w:pPr>
        <w:pStyle w:val="FirstParagraph"/>
        <w:rPr/>
      </w:pPr>
      <w:r>
        <w:rPr/>
        <w:t xml:space="preserve">Overall, the judge’s conduct exhibited a </w:t>
      </w:r>
      <w:r>
        <w:rPr>
          <w:b/>
          <w:bCs/>
        </w:rPr>
        <w:t>pattern of bias and procedural irregularities</w:t>
      </w:r>
      <w:r>
        <w:rPr/>
        <w:t xml:space="preserve">: she </w:t>
      </w:r>
      <w:r>
        <w:rPr>
          <w:b/>
          <w:bCs/>
        </w:rPr>
        <w:t>violated judicial canons</w:t>
      </w:r>
      <w:r>
        <w:rPr/>
        <w:t xml:space="preserve">, ignored Michigan’s procedural rules, and failed to uphold the fundamental fairness required in custody cases. These issues have been documented in Andrew’s </w:t>
      </w:r>
      <w:r>
        <w:rPr>
          <w:b/>
          <w:bCs/>
        </w:rPr>
        <w:t>Affidavit of Bias and Judicial Misconduct</w:t>
      </w:r>
      <w:r>
        <w:rPr/>
        <w:t>, where he enumerated each incident with corresponding canon/rule citations</w:t>
      </w:r>
      <w:hyperlink r:id="rId89">
        <w:r>
          <w:rPr>
            <w:rStyle w:val="Hyperlink"/>
          </w:rPr>
          <w:t>[57]</w:t>
        </w:r>
      </w:hyperlink>
      <w:hyperlink r:id="rId90">
        <w:r>
          <w:rPr>
            <w:rStyle w:val="Hyperlink"/>
          </w:rPr>
          <w:t>[58]</w:t>
        </w:r>
      </w:hyperlink>
      <w:r>
        <w:rPr/>
        <w:t xml:space="preserve">. For instance, admitting the Watson family’s recordings without authentication violated </w:t>
      </w:r>
      <w:r>
        <w:rPr>
          <w:b/>
          <w:bCs/>
        </w:rPr>
        <w:t>MRE 901–902</w:t>
      </w:r>
      <w:r>
        <w:rPr/>
        <w:t xml:space="preserve"> and Canon 3(A)(4)</w:t>
      </w:r>
      <w:hyperlink r:id="rId91">
        <w:r>
          <w:rPr>
            <w:rStyle w:val="Hyperlink"/>
          </w:rPr>
          <w:t>[59]</w:t>
        </w:r>
      </w:hyperlink>
      <w:r>
        <w:rPr/>
        <w:t xml:space="preserve">; suspending parenting time without finding actual endangerment violated </w:t>
      </w:r>
      <w:r>
        <w:rPr>
          <w:b/>
          <w:bCs/>
        </w:rPr>
        <w:t>MCL 722.27a(1)</w:t>
      </w:r>
      <w:hyperlink r:id="rId92">
        <w:r>
          <w:rPr>
            <w:rStyle w:val="Hyperlink"/>
            <w:b/>
            <w:bCs/>
          </w:rPr>
          <w:t>[60]</w:t>
        </w:r>
      </w:hyperlink>
      <w:r>
        <w:rPr/>
        <w:t xml:space="preserve">. Judge McNeill’s </w:t>
      </w:r>
      <w:r>
        <w:rPr>
          <w:b/>
          <w:bCs/>
        </w:rPr>
        <w:t>cumulative conduct</w:t>
      </w:r>
      <w:r>
        <w:rPr/>
        <w:t xml:space="preserve"> likely meets the threshold for a </w:t>
      </w:r>
      <w:r>
        <w:rPr>
          <w:b/>
          <w:bCs/>
        </w:rPr>
        <w:t>due process violation under Caperton</w:t>
      </w:r>
      <w:r>
        <w:rPr/>
        <w:t xml:space="preserve"> (i.e., a risk of bias “too high to be tolerable”). It certainly provides grounds for higher court review or a complaint to the Judicial Tenure Commission.</w:t>
      </w:r>
      <w:bookmarkEnd w:id="8"/>
    </w:p>
    <w:p>
      <w:pPr>
        <w:pStyle w:val="Heading3"/>
        <w:rPr/>
      </w:pPr>
      <w:bookmarkStart w:id="9" w:name="X92cd3489a727b5415bb2eaaf5585e06864384b1"/>
      <w:r>
        <w:rPr/>
        <w:t>Service of Process and Court Order Irregularities</w:t>
      </w:r>
    </w:p>
    <w:p>
      <w:pPr>
        <w:pStyle w:val="Normal"/>
        <w:numPr>
          <w:ilvl w:val="0"/>
          <w:numId w:val="28"/>
        </w:numPr>
        <w:rPr/>
      </w:pPr>
      <w:r>
        <w:rPr>
          <w:b/>
          <w:bCs/>
        </w:rPr>
        <w:t>Improper Service of PPO</w:t>
      </w:r>
      <w:r>
        <w:rPr/>
        <w:t xml:space="preserve">: The PPO obtained in 2023 was </w:t>
      </w:r>
      <w:r>
        <w:rPr>
          <w:b/>
          <w:bCs/>
        </w:rPr>
        <w:t>served on Andrew by Emily’s father, Albert Watson</w:t>
      </w:r>
      <w:r>
        <w:rPr/>
        <w:t>, who is an interested party</w:t>
      </w:r>
      <w:hyperlink r:id="rId93">
        <w:r>
          <w:rPr>
            <w:rStyle w:val="Hyperlink"/>
          </w:rPr>
          <w:t>[8]</w:t>
        </w:r>
      </w:hyperlink>
      <w:r>
        <w:rPr/>
        <w:t xml:space="preserve">. Typically, PPOs in Michigan must be served by law enforcement or a disinterested adult; having the petitioner’s relative serve it (especially one who then </w:t>
      </w:r>
      <w:r>
        <w:rPr>
          <w:b/>
          <w:bCs/>
        </w:rPr>
        <w:t>threatened</w:t>
      </w:r>
      <w:r>
        <w:rPr/>
        <w:t xml:space="preserve"> the respondent during service) is highly irregular. This may violate local court rules or at least best practices for service (MCR 2.103 allows any legally competent adult who is not a party to serve, so perhaps technically it was allowed if Albert isn’t a party – but his involvement was certainly improper given his later role as a witness). The </w:t>
      </w:r>
      <w:r>
        <w:rPr>
          <w:b/>
          <w:bCs/>
        </w:rPr>
        <w:t>threatening manner</w:t>
      </w:r>
      <w:r>
        <w:rPr/>
        <w:t xml:space="preserve"> of that service (documented by Andrew’s notes in Exhibit D of his affidavit) means Andrew was arguably </w:t>
      </w:r>
      <w:r>
        <w:rPr>
          <w:b/>
          <w:bCs/>
        </w:rPr>
        <w:t>never properly or peaceably served</w:t>
      </w:r>
      <w:r>
        <w:rPr/>
        <w:t xml:space="preserve">. This could have been raised to quash the PPO or invalidate contempt proceedings, but it appears the court </w:t>
      </w:r>
      <w:r>
        <w:rPr>
          <w:b/>
          <w:bCs/>
        </w:rPr>
        <w:t>overlooked this defect</w:t>
      </w:r>
      <w:r>
        <w:rPr/>
        <w:t>.</w:t>
      </w:r>
    </w:p>
    <w:p>
      <w:pPr>
        <w:pStyle w:val="Normal"/>
        <w:numPr>
          <w:ilvl w:val="0"/>
          <w:numId w:val="29"/>
        </w:numPr>
        <w:rPr/>
      </w:pPr>
      <w:r>
        <w:rPr>
          <w:b/>
          <w:bCs/>
        </w:rPr>
        <w:t>Order Misstatements / Lack of Findings:</w:t>
      </w:r>
      <w:r>
        <w:rPr/>
        <w:t xml:space="preserve"> Several court orders in this saga lack the required findings or even contain factual errors:</w:t>
      </w:r>
    </w:p>
    <w:p>
      <w:pPr>
        <w:pStyle w:val="Compact"/>
        <w:numPr>
          <w:ilvl w:val="0"/>
          <w:numId w:val="30"/>
        </w:numPr>
        <w:rPr/>
      </w:pPr>
      <w:r>
        <w:rPr/>
        <w:t xml:space="preserve">The </w:t>
      </w:r>
      <w:r>
        <w:rPr>
          <w:b/>
          <w:bCs/>
        </w:rPr>
        <w:t>8/8/2025 Ex Parte Order</w:t>
      </w:r>
      <w:r>
        <w:rPr/>
        <w:t xml:space="preserve"> (suspending parenting time) did not recite specific facts of immediate harm, as required by law</w:t>
      </w:r>
      <w:hyperlink r:id="rId94">
        <w:r>
          <w:rPr>
            <w:rStyle w:val="Hyperlink"/>
          </w:rPr>
          <w:t>[34]</w:t>
        </w:r>
      </w:hyperlink>
      <w:r>
        <w:rPr/>
        <w:t xml:space="preserve">. By the judge’s own words, she was not satisfied such facts existed – yet she issued the order anyway. This order is thus </w:t>
      </w:r>
      <w:r>
        <w:rPr>
          <w:b/>
          <w:bCs/>
        </w:rPr>
        <w:t>legally deficient</w:t>
      </w:r>
      <w:r>
        <w:rPr/>
        <w:t xml:space="preserve"> on its face.</w:t>
      </w:r>
    </w:p>
    <w:p>
      <w:pPr>
        <w:pStyle w:val="Compact"/>
        <w:numPr>
          <w:ilvl w:val="0"/>
          <w:numId w:val="31"/>
        </w:numPr>
        <w:rPr/>
      </w:pPr>
      <w:r>
        <w:rPr/>
        <w:t xml:space="preserve">Any </w:t>
      </w:r>
      <w:r>
        <w:rPr>
          <w:b/>
          <w:bCs/>
        </w:rPr>
        <w:t>order reducing custody</w:t>
      </w:r>
      <w:r>
        <w:rPr/>
        <w:t xml:space="preserve"> (from 182 days to 78 days) should have included findings on the </w:t>
      </w:r>
      <w:r>
        <w:rPr>
          <w:b/>
          <w:bCs/>
        </w:rPr>
        <w:t>Best Interest Factors (MCL 722.23)</w:t>
      </w:r>
      <w:r>
        <w:rPr/>
        <w:t xml:space="preserve"> and a finding of proper cause/change in circumstances (MCL 722.27). Andrew’s documents suggest that reduction was based solely on the PPO and “character assassination” with </w:t>
      </w:r>
      <w:r>
        <w:rPr>
          <w:b/>
          <w:bCs/>
        </w:rPr>
        <w:t>no evidentiary findings of unfitness</w:t>
      </w:r>
      <w:hyperlink r:id="rId95">
        <w:r>
          <w:rPr>
            <w:rStyle w:val="Hyperlink"/>
          </w:rPr>
          <w:t>[17]</w:t>
        </w:r>
      </w:hyperlink>
      <w:r>
        <w:rPr/>
        <w:t>. If the order (likely from early 2024) lacked analysis of each best-interest factor, it violates Michigan’s Child Custody Act requirements (MCL 722.23 and related case law) – a reversible error.</w:t>
      </w:r>
    </w:p>
    <w:p>
      <w:pPr>
        <w:pStyle w:val="Compact"/>
        <w:numPr>
          <w:ilvl w:val="0"/>
          <w:numId w:val="32"/>
        </w:numPr>
        <w:rPr/>
      </w:pPr>
      <w:r>
        <w:rPr/>
        <w:t xml:space="preserve">The </w:t>
      </w:r>
      <w:r>
        <w:rPr>
          <w:b/>
          <w:bCs/>
        </w:rPr>
        <w:t>September 4/5, 2025 Order</w:t>
      </w:r>
      <w:r>
        <w:rPr/>
        <w:t xml:space="preserve"> (following the post-ex parte hearing) misstates or ignores evidence: it </w:t>
      </w:r>
      <w:r>
        <w:rPr>
          <w:b/>
          <w:bCs/>
        </w:rPr>
        <w:t>“disregarded a valid HealthWest assessment”</w:t>
      </w:r>
      <w:r>
        <w:rPr/>
        <w:t xml:space="preserve"> that should have favored Andrew</w:t>
      </w:r>
      <w:hyperlink r:id="rId96">
        <w:r>
          <w:rPr>
            <w:rStyle w:val="Hyperlink"/>
          </w:rPr>
          <w:t>[32]</w:t>
        </w:r>
      </w:hyperlink>
      <w:r>
        <w:rPr/>
        <w:t xml:space="preserve">. By not mentioning that assessment’s conclusions and not explaining why it was set aside, the order is incomplete and biased. Michigan law (MCL 722.27(1)(c)) requires courts to consider </w:t>
      </w:r>
      <w:r>
        <w:rPr>
          <w:i/>
          <w:iCs/>
        </w:rPr>
        <w:t>all</w:t>
      </w:r>
      <w:r>
        <w:rPr/>
        <w:t xml:space="preserve"> competent evidence in modifying custody; failing to account for the psychological evaluation breaches that duty.</w:t>
      </w:r>
    </w:p>
    <w:p>
      <w:pPr>
        <w:pStyle w:val="Compact"/>
        <w:numPr>
          <w:ilvl w:val="0"/>
          <w:numId w:val="33"/>
        </w:numPr>
        <w:rPr/>
      </w:pPr>
      <w:r>
        <w:rPr/>
        <w:t xml:space="preserve">We also see irregularity in an apparent requirement by Judge McNeill that Andrew pay a </w:t>
      </w:r>
      <w:r>
        <w:rPr>
          <w:b/>
          <w:bCs/>
        </w:rPr>
        <w:t>$250 bond</w:t>
      </w:r>
      <w:r>
        <w:rPr/>
        <w:t xml:space="preserve"> to file motions. If this was formalized in an order, it likely mis-cites authority or lacks a basis (since Andrew was not declared a vexatious litigant through the proper procedure). This could be considered an </w:t>
      </w:r>
      <w:r>
        <w:rPr>
          <w:b/>
          <w:bCs/>
        </w:rPr>
        <w:t>abusive order</w:t>
      </w:r>
      <w:r>
        <w:rPr/>
        <w:t xml:space="preserve"> aimed at deterring Andrew’s access to the court.</w:t>
      </w:r>
    </w:p>
    <w:p>
      <w:pPr>
        <w:pStyle w:val="FirstParagraph"/>
        <w:rPr/>
      </w:pPr>
      <w:bookmarkStart w:id="10" w:name="X92cd3489a727b5415bb2eaaf5585e06864384b1"/>
      <w:r>
        <w:rPr/>
        <w:t>Each defective order and service issue ties back to due process and judicial overreach. These should be logged with exact dates and contents once the actual orders are in hand. They bolster the case that normal procedural safeguards were not followed.</w:t>
      </w:r>
      <w:bookmarkEnd w:id="10"/>
    </w:p>
    <w:p>
      <w:pPr>
        <w:pStyle w:val="Heading3"/>
        <w:rPr/>
      </w:pPr>
      <w:bookmarkStart w:id="11" w:name="X85ab25476856bd180d1d046dc60797ecd1db5b8"/>
      <w:r>
        <w:rPr/>
        <w:t>Contempt of Court and Abuse of Contempt Powers</w:t>
      </w:r>
    </w:p>
    <w:p>
      <w:pPr>
        <w:pStyle w:val="Compact"/>
        <w:numPr>
          <w:ilvl w:val="0"/>
          <w:numId w:val="34"/>
        </w:numPr>
        <w:rPr/>
      </w:pPr>
      <w:r>
        <w:rPr>
          <w:b/>
          <w:bCs/>
        </w:rPr>
        <w:t>Misuse of Contempt Proceedings:</w:t>
      </w:r>
      <w:r>
        <w:rPr/>
        <w:t xml:space="preserve"> Andrew faced multiple </w:t>
      </w:r>
      <w:r>
        <w:rPr>
          <w:b/>
          <w:bCs/>
        </w:rPr>
        <w:t>contempt (show-cause) hearings</w:t>
      </w:r>
      <w:r>
        <w:rPr/>
        <w:t xml:space="preserve"> for alleged PPO violations, and the process appears punitive beyond reason:</w:t>
      </w:r>
    </w:p>
    <w:p>
      <w:pPr>
        <w:pStyle w:val="Compact"/>
        <w:numPr>
          <w:ilvl w:val="0"/>
          <w:numId w:val="35"/>
        </w:numPr>
        <w:rPr/>
      </w:pPr>
      <w:r>
        <w:rPr/>
        <w:t xml:space="preserve">At the October 30, 2024 hearing, Judge McNeill’s refusal to let Andrew speak and her statement </w:t>
      </w:r>
      <w:r>
        <w:rPr>
          <w:i/>
          <w:iCs/>
        </w:rPr>
        <w:t>“just because you don’t like decisions... doesn’t mean we keep filing”</w:t>
      </w:r>
      <w:hyperlink r:id="rId97">
        <w:r>
          <w:rPr>
            <w:rStyle w:val="Hyperlink"/>
          </w:rPr>
          <w:t>[41]</w:t>
        </w:r>
      </w:hyperlink>
      <w:r>
        <w:rPr/>
        <w:t xml:space="preserve"> suggests she viewed his defensive filings as contemptuous in themselves. Contempt power should be used to enforce orders, not to silence legitimate motions.</w:t>
      </w:r>
    </w:p>
    <w:p>
      <w:pPr>
        <w:pStyle w:val="Compact"/>
        <w:numPr>
          <w:ilvl w:val="0"/>
          <w:numId w:val="36"/>
        </w:numPr>
        <w:rPr/>
      </w:pPr>
      <w:r>
        <w:rPr/>
        <w:t xml:space="preserve">The February 28, 2025 hearing where the </w:t>
      </w:r>
      <w:r>
        <w:rPr>
          <w:b/>
          <w:bCs/>
        </w:rPr>
        <w:t>prosecutor only asked for a lecture</w:t>
      </w:r>
      <w:r>
        <w:rPr/>
        <w:t xml:space="preserve"> indicates there was </w:t>
      </w:r>
      <w:r>
        <w:rPr>
          <w:b/>
          <w:bCs/>
        </w:rPr>
        <w:t>no serious contempt to punish</w:t>
      </w:r>
      <w:r>
        <w:rPr/>
        <w:t xml:space="preserve">. Yet the judge still proceeded in a manner that made Andrew fear jail (he explicitly wrote that he thought she’s “going to put me in jail even though” the motion lacked substance). This suggests the judge may have been using the threat of contempt (incarceration) to intimidate Andrew, rather than to address willful violations. Such an approach is an abuse of contempt power, which is supposed to be remedial or punitive </w:t>
      </w:r>
      <w:r>
        <w:rPr>
          <w:i/>
          <w:iCs/>
        </w:rPr>
        <w:t>only</w:t>
      </w:r>
      <w:r>
        <w:rPr/>
        <w:t xml:space="preserve"> when a party willfully disobeys an order. If Andrew did not actually violate the PPO (as at least one police report said he hadn’t</w:t>
      </w:r>
      <w:hyperlink r:id="rId98">
        <w:r>
          <w:rPr>
            <w:rStyle w:val="Hyperlink"/>
          </w:rPr>
          <w:t>[33]</w:t>
        </w:r>
      </w:hyperlink>
      <w:r>
        <w:rPr/>
        <w:t>), then punishing or lecturing him is outside the scope of legitimate contempt authority.</w:t>
      </w:r>
    </w:p>
    <w:p>
      <w:pPr>
        <w:pStyle w:val="Normal"/>
        <w:numPr>
          <w:ilvl w:val="0"/>
          <w:numId w:val="37"/>
        </w:numPr>
        <w:rPr/>
      </w:pPr>
      <w:r>
        <w:rPr/>
        <w:t xml:space="preserve">Furthermore, the </w:t>
      </w:r>
      <w:r>
        <w:rPr>
          <w:b/>
          <w:bCs/>
        </w:rPr>
        <w:t>48 days of missed parenting time</w:t>
      </w:r>
      <w:r>
        <w:rPr/>
        <w:t xml:space="preserve"> by mid-September 2025 due to the ex parte order</w:t>
      </w:r>
      <w:r>
        <w:fldChar w:fldCharType="begin"/>
      </w:r>
      <w:r>
        <w:rPr>
          <w:rStyle w:val="Hyperlink"/>
        </w:rPr>
        <w:instrText xml:space="preserve"> HYPERLINK "https://mail.google.com/mail/u/0/" \l "all/1994e5c10775b3db"</w:instrText>
      </w:r>
      <w:r>
        <w:rPr>
          <w:rStyle w:val="Hyperlink"/>
        </w:rPr>
        <w:fldChar w:fldCharType="separate"/>
      </w:r>
      <w:r>
        <w:rPr>
          <w:rStyle w:val="Hyperlink"/>
        </w:rPr>
        <w:t>[7]</w:t>
      </w:r>
      <w:r>
        <w:rPr>
          <w:rStyle w:val="Hyperlink"/>
        </w:rPr>
        <w:fldChar w:fldCharType="end"/>
      </w:r>
      <w:r>
        <w:rPr/>
        <w:t xml:space="preserve"> represent effectively using contempt against Andrew (suspending his rights) </w:t>
      </w:r>
      <w:r>
        <w:rPr>
          <w:i/>
          <w:iCs/>
        </w:rPr>
        <w:t>without</w:t>
      </w:r>
      <w:r>
        <w:rPr/>
        <w:t xml:space="preserve"> him violating anything – he was punished (by loss of visitation) </w:t>
      </w:r>
      <w:r>
        <w:rPr>
          <w:i/>
          <w:iCs/>
        </w:rPr>
        <w:t>before</w:t>
      </w:r>
      <w:r>
        <w:rPr/>
        <w:t xml:space="preserve"> any finding of wrongdoing. This inversion – penalizing first, adjudicating later – is a severe abuse of judicial power.</w:t>
      </w:r>
    </w:p>
    <w:p>
      <w:pPr>
        <w:pStyle w:val="Normal"/>
        <w:numPr>
          <w:ilvl w:val="0"/>
          <w:numId w:val="38"/>
        </w:numPr>
        <w:rPr/>
      </w:pPr>
      <w:r>
        <w:rPr>
          <w:b/>
          <w:bCs/>
        </w:rPr>
        <w:t>Sanctions as a Weapon:</w:t>
      </w:r>
      <w:r>
        <w:rPr/>
        <w:t xml:space="preserve"> The requirement that Andrew deposit $250 to file motions (imposed around May 2025) can be seen as a sanction or contempt-like penalty for his frequent filings. Typically, before issuing sanctions or pre-filing restrictions, a court must find that filings were frivolous or harassing (MCR 1.109(E)). The record doesn’t show such a finding; it appears the judge unilaterally set this barrier after a contentious hearing. This is arguably an </w:t>
      </w:r>
      <w:r>
        <w:rPr>
          <w:b/>
          <w:bCs/>
        </w:rPr>
        <w:t>ultra vires</w:t>
      </w:r>
      <w:r>
        <w:rPr/>
        <w:t xml:space="preserve"> act – effectively holding the right to access the court hostage behind a paywall, which is not contemplated by Michigan law without due process.</w:t>
      </w:r>
    </w:p>
    <w:p>
      <w:pPr>
        <w:pStyle w:val="FirstParagraph"/>
        <w:rPr/>
      </w:pPr>
      <w:r>
        <w:rPr/>
        <w:t xml:space="preserve">In sum, the pattern suggests the court used contempt and sanctions </w:t>
      </w:r>
      <w:r>
        <w:rPr>
          <w:b/>
          <w:bCs/>
        </w:rPr>
        <w:t>punitively and selectively</w:t>
      </w:r>
      <w:r>
        <w:rPr/>
        <w:t xml:space="preserve"> – to </w:t>
      </w:r>
      <w:r>
        <w:rPr>
          <w:b/>
          <w:bCs/>
        </w:rPr>
        <w:t>chill Andrew’s advocacy</w:t>
      </w:r>
      <w:r>
        <w:rPr/>
        <w:t xml:space="preserve"> and enforce Emily’s desired outcomes, rather than to uphold neutral justice. This is an overarching violation of due process and Michigan’s contempt rules (MCL 600.1701 et seq. require specific findings for contempt). It reinforces the case for judicial misconduct, as it shows bias (only Andrew felt the lash of contempt, while Emily’s clear violations – e.g., denying court-ordered parenting time to Andrew – were not similarly punished).</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 xml:space="preserve">The violations identified above – false statements, due process lapses, ethical breaches, service defects, and contempt abuse – are meticulously logged in the evidence and will be referenced by exhibit in the next section. Each violation not only harmed Andrew in this litigation but also provides potential </w:t>
      </w:r>
      <w:r>
        <w:rPr>
          <w:b/>
          <w:bCs/>
        </w:rPr>
        <w:t>grounds for relief</w:t>
      </w:r>
      <w:r>
        <w:rPr/>
        <w:t xml:space="preserve"> (via motions to set aside orders, appeals, or complaints). They demonstrate a </w:t>
      </w:r>
      <w:r>
        <w:rPr>
          <w:b/>
          <w:bCs/>
        </w:rPr>
        <w:t>breakdown of normal legal process</w:t>
      </w:r>
      <w:r>
        <w:rPr/>
        <w:t xml:space="preserve"> in this case, necessitating corrective action.</w:t>
      </w:r>
      <w:bookmarkEnd w:id="5"/>
      <w:bookmarkEnd w:id="11"/>
    </w:p>
    <w:p>
      <w:pPr>
        <w:pStyle w:val="Heading2"/>
        <w:rPr/>
      </w:pPr>
      <w:bookmarkStart w:id="12" w:name="timeline-of-events-and-documented-harm"/>
      <w:r>
        <w:rPr/>
        <w:t>Timeline of Events and Documented Harm</w:t>
      </w:r>
    </w:p>
    <w:p>
      <w:pPr>
        <w:pStyle w:val="FirstParagraph"/>
        <w:rPr/>
      </w:pPr>
      <w:r>
        <w:rPr/>
        <w:t xml:space="preserve">Below is a </w:t>
      </w:r>
      <w:r>
        <w:rPr>
          <w:b/>
          <w:bCs/>
        </w:rPr>
        <w:t>chronological timeline</w:t>
      </w:r>
      <w:r>
        <w:rPr/>
        <w:t xml:space="preserve"> of key events (with dates in </w:t>
      </w:r>
      <w:r>
        <w:rPr>
          <w:i/>
          <w:iCs/>
        </w:rPr>
        <w:t>YYYY-MM-DD</w:t>
      </w:r>
      <w:r>
        <w:rPr/>
        <w:t xml:space="preserve"> format, Eastern Time). The timeline logs what happened, and later we will map the resulting harm and legal violations:</w:t>
      </w:r>
    </w:p>
    <w:p>
      <w:pPr>
        <w:pStyle w:val="SourceCode"/>
        <w:rPr/>
      </w:pPr>
      <w:r>
        <w:rPr>
          <w:rStyle w:val="VerbatimChar"/>
        </w:rPr>
        <w:t>[</w:t>
      </w:r>
      <w:r>
        <w:rPr/>
        <w:br/>
      </w:r>
      <w:r>
        <w:rPr>
          <w:rStyle w:val="VerbatimChar"/>
        </w:rPr>
        <w:t xml:space="preserve">  {</w:t>
      </w:r>
      <w:r>
        <w:rPr/>
        <w:br/>
      </w:r>
      <w:r>
        <w:rPr>
          <w:rStyle w:val="VerbatimChar"/>
        </w:rPr>
        <w:t xml:space="preserve">    "date": "2023-10-15",</w:t>
      </w:r>
      <w:r>
        <w:rPr/>
        <w:br/>
      </w:r>
      <w:r>
        <w:rPr>
          <w:rStyle w:val="VerbatimChar"/>
        </w:rPr>
        <w:t xml:space="preserve">    "event": "Emily calls Muskegon police for a welfare check on Andrew, alleging suicidality.",</w:t>
      </w:r>
      <w:r>
        <w:rPr/>
        <w:br/>
      </w:r>
      <w:r>
        <w:rPr>
          <w:rStyle w:val="VerbatimChar"/>
        </w:rPr>
        <w:t xml:space="preserve">    "outcome": "Police find no issues or threats; report indicates no action needed[19].",</w:t>
      </w:r>
      <w:r>
        <w:rPr/>
        <w:br/>
      </w:r>
      <w:r>
        <w:rPr>
          <w:rStyle w:val="VerbatimChar"/>
        </w:rPr>
        <w:t xml:space="preserve">    "harm": "Reputational harm to Andrew; sets pattern of false alarms."</w:t>
      </w:r>
      <w:r>
        <w:rPr/>
        <w:br/>
      </w:r>
      <w:r>
        <w:rPr>
          <w:rStyle w:val="VerbatimChar"/>
        </w:rPr>
        <w:t xml:space="preserve">  },</w:t>
      </w:r>
      <w:r>
        <w:rPr/>
        <w:br/>
      </w:r>
      <w:r>
        <w:rPr>
          <w:rStyle w:val="VerbatimChar"/>
        </w:rPr>
        <w:t xml:space="preserve">  {</w:t>
      </w:r>
      <w:r>
        <w:rPr/>
        <w:br/>
      </w:r>
      <w:r>
        <w:rPr>
          <w:rStyle w:val="VerbatimChar"/>
        </w:rPr>
        <w:t xml:space="preserve">    "date": "2023-11-12",</w:t>
      </w:r>
      <w:r>
        <w:rPr/>
        <w:br/>
      </w:r>
      <w:r>
        <w:rPr>
          <w:rStyle w:val="VerbatimChar"/>
        </w:rPr>
        <w:t xml:space="preserve">    "event": "Emily takes L.D.W. without informing Andrew (unauthorized absence) and again calls police claiming Andrew is suicidal.",</w:t>
      </w:r>
      <w:r>
        <w:rPr/>
        <w:br/>
      </w:r>
      <w:r>
        <w:rPr>
          <w:rStyle w:val="VerbatimChar"/>
        </w:rPr>
        <w:t xml:space="preserve">    "outcome": "Police perform welfare check; Andrew refutes claim to dispatcher; no self-harm found[31]. Emily keeps child away briefly.",</w:t>
      </w:r>
      <w:r>
        <w:rPr/>
        <w:br/>
      </w:r>
      <w:r>
        <w:rPr>
          <w:rStyle w:val="VerbatimChar"/>
        </w:rPr>
        <w:t xml:space="preserve">    "harm": "Emotional harm to child (instability), procedural harm (false report)."</w:t>
      </w:r>
      <w:r>
        <w:rPr/>
        <w:br/>
      </w:r>
      <w:r>
        <w:rPr>
          <w:rStyle w:val="VerbatimChar"/>
        </w:rPr>
        <w:t xml:space="preserve">  },</w:t>
      </w:r>
      <w:r>
        <w:rPr/>
        <w:br/>
      </w:r>
      <w:r>
        <w:rPr>
          <w:rStyle w:val="VerbatimChar"/>
        </w:rPr>
        <w:t xml:space="preserve">  {</w:t>
      </w:r>
      <w:r>
        <w:rPr/>
        <w:br/>
      </w:r>
      <w:r>
        <w:rPr>
          <w:rStyle w:val="VerbatimChar"/>
        </w:rPr>
        <w:t xml:space="preserve">    "date": "2023-11-16",</w:t>
      </w:r>
      <w:r>
        <w:rPr/>
        <w:br/>
      </w:r>
      <w:r>
        <w:rPr>
          <w:rStyle w:val="VerbatimChar"/>
        </w:rPr>
        <w:t xml:space="preserve">    "event": "Under an eviction order, Andrew moves out of shared residence. Emily accesses his belongings (mason jar, webcam) and photographs them.",</w:t>
      </w:r>
      <w:r>
        <w:rPr/>
        <w:br/>
      </w:r>
      <w:r>
        <w:rPr>
          <w:rStyle w:val="VerbatimChar"/>
        </w:rPr>
        <w:t xml:space="preserve">    "outcome": "Andrew documents his belongings with his own photos that day[16]. Emily later uses her staged photos as PPO evidence.",</w:t>
      </w:r>
      <w:r>
        <w:rPr/>
        <w:br/>
      </w:r>
      <w:r>
        <w:rPr>
          <w:rStyle w:val="VerbatimChar"/>
        </w:rPr>
        <w:t xml:space="preserve">    "harm": "Loss of housing for Andrew; evidence fabrication sets up legal harm (fraud on court)."</w:t>
      </w:r>
      <w:r>
        <w:rPr/>
        <w:br/>
      </w:r>
      <w:r>
        <w:rPr>
          <w:rStyle w:val="VerbatimChar"/>
        </w:rPr>
        <w:t xml:space="preserve">  },</w:t>
      </w:r>
      <w:r>
        <w:rPr/>
        <w:br/>
      </w:r>
      <w:r>
        <w:rPr>
          <w:rStyle w:val="VerbatimChar"/>
        </w:rPr>
        <w:t xml:space="preserve">  {</w:t>
      </w:r>
      <w:r>
        <w:rPr/>
        <w:br/>
      </w:r>
      <w:r>
        <w:rPr>
          <w:rStyle w:val="VerbatimChar"/>
        </w:rPr>
        <w:t xml:space="preserve">    "date": "2023-11-17",</w:t>
      </w:r>
      <w:r>
        <w:rPr/>
        <w:br/>
      </w:r>
      <w:r>
        <w:rPr>
          <w:rStyle w:val="VerbatimChar"/>
        </w:rPr>
        <w:t xml:space="preserve">    "event": "Emily obtains an ex parte Personal Protection Order (PPO) against Andrew, alleging poisoning by arsenic and physical assault.",</w:t>
      </w:r>
      <w:r>
        <w:rPr/>
        <w:br/>
      </w:r>
      <w:r>
        <w:rPr>
          <w:rStyle w:val="VerbatimChar"/>
        </w:rPr>
        <w:t xml:space="preserve">    "outcome": "PPO 2023-5907-PP issued by Judge McNeill[13]. Emily is granted temporary sole custody of L.D.W.",</w:t>
      </w:r>
      <w:r>
        <w:rPr/>
        <w:br/>
      </w:r>
      <w:r>
        <w:rPr>
          <w:rStyle w:val="VerbatimChar"/>
        </w:rPr>
        <w:t xml:space="preserve">    "harm": "Immediate loss of child access for Andrew, psychological harm to father and child, reputational harm (poisoning accusation)[15]."</w:t>
      </w:r>
      <w:r>
        <w:rPr/>
        <w:br/>
      </w:r>
      <w:r>
        <w:rPr>
          <w:rStyle w:val="VerbatimChar"/>
        </w:rPr>
        <w:t xml:space="preserve">  },</w:t>
      </w:r>
      <w:r>
        <w:rPr/>
        <w:br/>
      </w:r>
      <w:r>
        <w:rPr>
          <w:rStyle w:val="VerbatimChar"/>
        </w:rPr>
        <w:t xml:space="preserve">  {</w:t>
      </w:r>
      <w:r>
        <w:rPr/>
        <w:br/>
      </w:r>
      <w:r>
        <w:rPr>
          <w:rStyle w:val="VerbatimChar"/>
        </w:rPr>
        <w:t xml:space="preserve">    "date": "2023-12-02",</w:t>
      </w:r>
      <w:r>
        <w:rPr/>
        <w:br/>
      </w:r>
      <w:r>
        <w:rPr>
          <w:rStyle w:val="VerbatimChar"/>
        </w:rPr>
        <w:t xml:space="preserve">    "event": "Emily again withholds L.D.W. beyond agreed time (unauthorized trip with child).",</w:t>
      </w:r>
      <w:r>
        <w:rPr/>
        <w:br/>
      </w:r>
      <w:r>
        <w:rPr>
          <w:rStyle w:val="VerbatimChar"/>
        </w:rPr>
        <w:t xml:space="preserve">    "outcome": "Incident noted in custody journal as violating stability for L.D.W.[61].",</w:t>
      </w:r>
      <w:r>
        <w:rPr/>
        <w:br/>
      </w:r>
      <w:r>
        <w:rPr>
          <w:rStyle w:val="VerbatimChar"/>
        </w:rPr>
        <w:t xml:space="preserve">    "harm": "Child’s routine disrupted; Andrew’s parenting time denied (custodial interference)."</w:t>
      </w:r>
      <w:r>
        <w:rPr/>
        <w:br/>
      </w:r>
      <w:r>
        <w:rPr>
          <w:rStyle w:val="VerbatimChar"/>
        </w:rPr>
        <w:t xml:space="preserve">  },</w:t>
      </w:r>
      <w:r>
        <w:rPr/>
        <w:br/>
      </w:r>
      <w:r>
        <w:rPr>
          <w:rStyle w:val="VerbatimChar"/>
        </w:rPr>
        <w:t xml:space="preserve">  {</w:t>
      </w:r>
      <w:r>
        <w:rPr/>
        <w:br/>
      </w:r>
      <w:r>
        <w:rPr>
          <w:rStyle w:val="VerbatimChar"/>
        </w:rPr>
        <w:t xml:space="preserve">    "date": "2024-01-05",</w:t>
      </w:r>
      <w:r>
        <w:rPr/>
        <w:br/>
      </w:r>
      <w:r>
        <w:rPr>
          <w:rStyle w:val="VerbatimChar"/>
        </w:rPr>
        <w:t xml:space="preserve">    "event": "Contested PPO hearing (approximate date; Andrew requests a hearing within 14 days of PPO).",</w:t>
      </w:r>
      <w:r>
        <w:rPr/>
        <w:br/>
      </w:r>
      <w:r>
        <w:rPr>
          <w:rStyle w:val="VerbatimChar"/>
        </w:rPr>
        <w:t xml:space="preserve">    "outcome": "Judge McNeill hears parties. Andrew presents evidence (photos, police reports) but judge refuses to consider much of it[37]. PPO is kept in effect.",</w:t>
      </w:r>
      <w:r>
        <w:rPr/>
        <w:br/>
      </w:r>
      <w:r>
        <w:rPr>
          <w:rStyle w:val="VerbatimChar"/>
        </w:rPr>
        <w:t xml:space="preserve">    "harm": "Due process harm (evidence ignored), continuing separation of father and child."</w:t>
      </w:r>
      <w:r>
        <w:rPr/>
        <w:br/>
      </w:r>
      <w:r>
        <w:rPr>
          <w:rStyle w:val="VerbatimChar"/>
        </w:rPr>
        <w:t xml:space="preserve">  },</w:t>
      </w:r>
      <w:r>
        <w:rPr/>
        <w:br/>
      </w:r>
      <w:r>
        <w:rPr>
          <w:rStyle w:val="VerbatimChar"/>
        </w:rPr>
        <w:t xml:space="preserve">  {</w:t>
      </w:r>
      <w:r>
        <w:rPr/>
        <w:br/>
      </w:r>
      <w:r>
        <w:rPr>
          <w:rStyle w:val="VerbatimChar"/>
        </w:rPr>
        <w:t xml:space="preserve">    "date": "2024-03-26",</w:t>
      </w:r>
      <w:r>
        <w:rPr/>
        <w:br/>
      </w:r>
      <w:r>
        <w:rPr>
          <w:rStyle w:val="VerbatimChar"/>
        </w:rPr>
        <w:t xml:space="preserve">    "event": "Emily fails to return L.D.W. after a scheduled visit, removing him from Andrew’s care without notice.",</w:t>
      </w:r>
      <w:r>
        <w:rPr/>
        <w:br/>
      </w:r>
      <w:r>
        <w:rPr>
          <w:rStyle w:val="VerbatimChar"/>
        </w:rPr>
        <w:t xml:space="preserve">    "outcome": "Another incident of unilateral withholding; documented by Andrew[61].",</w:t>
      </w:r>
      <w:r>
        <w:rPr/>
        <w:br/>
      </w:r>
      <w:r>
        <w:rPr>
          <w:rStyle w:val="VerbatimChar"/>
        </w:rPr>
        <w:t xml:space="preserve">    "harm": "Child’s emotional distress, further alienation; violation of court-ordered parenting time."</w:t>
      </w:r>
      <w:r>
        <w:rPr/>
        <w:br/>
      </w:r>
      <w:r>
        <w:rPr>
          <w:rStyle w:val="VerbatimChar"/>
        </w:rPr>
        <w:t xml:space="preserve">  },</w:t>
      </w:r>
      <w:r>
        <w:rPr/>
        <w:br/>
      </w:r>
      <w:r>
        <w:rPr>
          <w:rStyle w:val="VerbatimChar"/>
        </w:rPr>
        <w:t xml:space="preserve">  {</w:t>
      </w:r>
      <w:r>
        <w:rPr/>
        <w:br/>
      </w:r>
      <w:r>
        <w:rPr>
          <w:rStyle w:val="VerbatimChar"/>
        </w:rPr>
        <w:t xml:space="preserve">    "date": "2024-04-22",</w:t>
      </w:r>
      <w:r>
        <w:rPr/>
        <w:br/>
      </w:r>
      <w:r>
        <w:rPr>
          <w:rStyle w:val="VerbatimChar"/>
        </w:rPr>
        <w:t xml:space="preserve">    "event": "Custody case reopened by Andrew (Case 2024-001507-DC) citing changed circumstances and PPO issues; initial hearing/arraignment for PPO violations.",</w:t>
      </w:r>
      <w:r>
        <w:rPr/>
        <w:br/>
      </w:r>
      <w:r>
        <w:rPr>
          <w:rStyle w:val="VerbatimChar"/>
        </w:rPr>
        <w:t xml:space="preserve">    "outcome": "At a brief hearing, Judge McNeill treats the matter formally. Andrew’s attempts to submit documents are deferred. (Public defender notes this was just an arraignment)[62].",</w:t>
      </w:r>
      <w:r>
        <w:rPr/>
        <w:br/>
      </w:r>
      <w:r>
        <w:rPr>
          <w:rStyle w:val="VerbatimChar"/>
        </w:rPr>
        <w:t xml:space="preserve">    "harm": "No immediate relief; case consolidation with PPO sought but not yet granted."</w:t>
      </w:r>
      <w:r>
        <w:rPr/>
        <w:br/>
      </w:r>
      <w:r>
        <w:rPr>
          <w:rStyle w:val="VerbatimChar"/>
        </w:rPr>
        <w:t xml:space="preserve">  },</w:t>
      </w:r>
      <w:r>
        <w:rPr/>
        <w:br/>
      </w:r>
      <w:r>
        <w:rPr>
          <w:rStyle w:val="VerbatimChar"/>
        </w:rPr>
        <w:t xml:space="preserve">  {</w:t>
      </w:r>
      <w:r>
        <w:rPr/>
        <w:br/>
      </w:r>
      <w:r>
        <w:rPr>
          <w:rStyle w:val="VerbatimChar"/>
        </w:rPr>
        <w:t xml:space="preserve">    "date": "2024-10-30",</w:t>
      </w:r>
      <w:r>
        <w:rPr/>
        <w:br/>
      </w:r>
      <w:r>
        <w:rPr>
          <w:rStyle w:val="VerbatimChar"/>
        </w:rPr>
        <w:t xml:space="preserve">    "event": "PPO Show-Cause hearing for alleged PPO violations by Andrew (e.g., attending a mutual event, third-party contact).",</w:t>
      </w:r>
      <w:r>
        <w:rPr/>
        <w:br/>
      </w:r>
      <w:r>
        <w:rPr>
          <w:rStyle w:val="VerbatimChar"/>
        </w:rPr>
        <w:t xml:space="preserve">    "outcome": "Judge McNeill mutes Andrew repeatedly and says she will not re-examine PPO merits[41]. Andrew’s evidence of harassment by Watson family is ignored[52]. Court finds Andrew in violation (details to be clarified).",</w:t>
      </w:r>
      <w:r>
        <w:rPr/>
        <w:br/>
      </w:r>
      <w:r>
        <w:rPr>
          <w:rStyle w:val="VerbatimChar"/>
        </w:rPr>
        <w:t xml:space="preserve">    "harm": "Procedural harm (no fair hearing), possible contempt sanction (e.g., warning or short jail, unclear from record)."</w:t>
      </w:r>
      <w:r>
        <w:rPr/>
        <w:br/>
      </w:r>
      <w:r>
        <w:rPr>
          <w:rStyle w:val="VerbatimChar"/>
        </w:rPr>
        <w:t xml:space="preserve">  },</w:t>
      </w:r>
      <w:r>
        <w:rPr/>
        <w:br/>
      </w:r>
      <w:r>
        <w:rPr>
          <w:rStyle w:val="VerbatimChar"/>
        </w:rPr>
        <w:t xml:space="preserve">  {</w:t>
      </w:r>
      <w:r>
        <w:rPr/>
        <w:br/>
      </w:r>
      <w:r>
        <w:rPr>
          <w:rStyle w:val="VerbatimChar"/>
        </w:rPr>
        <w:t xml:space="preserve">    "date": "2024-11-15",</w:t>
      </w:r>
      <w:r>
        <w:rPr/>
        <w:br/>
      </w:r>
      <w:r>
        <w:rPr>
          <w:rStyle w:val="VerbatimChar"/>
        </w:rPr>
        <w:t xml:space="preserve">    "event": "Incident leading to PPO Violation Count #5: Emily claims Andrew violated PPO. Police report MU2422249 filed.",</w:t>
      </w:r>
      <w:r>
        <w:rPr/>
        <w:br/>
      </w:r>
      <w:r>
        <w:rPr>
          <w:rStyle w:val="VerbatimChar"/>
        </w:rPr>
        <w:t xml:space="preserve">    "outcome": "Muskegon PD investigates and concludes “No violation of PPO occurred”[33]. Despite exculpatory report, Emily pursues court action.",</w:t>
      </w:r>
      <w:r>
        <w:rPr/>
        <w:br/>
      </w:r>
      <w:r>
        <w:rPr>
          <w:rStyle w:val="VerbatimChar"/>
        </w:rPr>
        <w:t xml:space="preserve">    "harm": "Legal jeopardy for Andrew despite innocence; added legal fees/stress."</w:t>
      </w:r>
      <w:r>
        <w:rPr/>
        <w:br/>
      </w:r>
      <w:r>
        <w:rPr>
          <w:rStyle w:val="VerbatimChar"/>
        </w:rPr>
        <w:t xml:space="preserve">  },</w:t>
      </w:r>
      <w:r>
        <w:rPr/>
        <w:br/>
      </w:r>
      <w:r>
        <w:rPr>
          <w:rStyle w:val="VerbatimChar"/>
        </w:rPr>
        <w:t xml:space="preserve">  {</w:t>
      </w:r>
      <w:r>
        <w:rPr/>
        <w:br/>
      </w:r>
      <w:r>
        <w:rPr>
          <w:rStyle w:val="VerbatimChar"/>
        </w:rPr>
        <w:t xml:space="preserve">    "date": "2025-02-14",</w:t>
      </w:r>
      <w:r>
        <w:rPr/>
        <w:br/>
      </w:r>
      <w:r>
        <w:rPr>
          <w:rStyle w:val="VerbatimChar"/>
        </w:rPr>
        <w:t xml:space="preserve">    "event": "Andrew files motions in the custody case (to modify custody/support, citing Emily’s perjury and new evidence).",</w:t>
      </w:r>
      <w:r>
        <w:rPr/>
        <w:br/>
      </w:r>
      <w:r>
        <w:rPr>
          <w:rStyle w:val="VerbatimChar"/>
        </w:rPr>
        <w:t xml:space="preserve">    "outcome": "Emily learns of this and, according to Andrew, retaliates by escalating PPO complaints. (Court schedules hearing on custody motions in spring.)",</w:t>
      </w:r>
      <w:r>
        <w:rPr/>
        <w:br/>
      </w:r>
      <w:r>
        <w:rPr>
          <w:rStyle w:val="VerbatimChar"/>
        </w:rPr>
        <w:t xml:space="preserve">    "harm": "Emily’s retaliatory litigation (see next event); continued limited contact with child pending hearing."</w:t>
      </w:r>
      <w:r>
        <w:rPr/>
        <w:br/>
      </w:r>
      <w:r>
        <w:rPr>
          <w:rStyle w:val="VerbatimChar"/>
        </w:rPr>
        <w:t xml:space="preserve">  },</w:t>
      </w:r>
      <w:r>
        <w:rPr/>
        <w:br/>
      </w:r>
      <w:r>
        <w:rPr>
          <w:rStyle w:val="VerbatimChar"/>
        </w:rPr>
        <w:t xml:space="preserve">  {</w:t>
      </w:r>
      <w:r>
        <w:rPr/>
        <w:br/>
      </w:r>
      <w:r>
        <w:rPr>
          <w:rStyle w:val="VerbatimChar"/>
        </w:rPr>
        <w:t xml:space="preserve">    "date": "2025-02-28",</w:t>
      </w:r>
      <w:r>
        <w:rPr/>
        <w:br/>
      </w:r>
      <w:r>
        <w:rPr>
          <w:rStyle w:val="VerbatimChar"/>
        </w:rPr>
        <w:t xml:space="preserve">    "event": "PPO Violation hearing (Counts #5 &amp; #6) – initial hearing date.",</w:t>
      </w:r>
      <w:r>
        <w:rPr/>
        <w:br/>
      </w:r>
      <w:r>
        <w:rPr>
          <w:rStyle w:val="VerbatimChar"/>
        </w:rPr>
        <w:t xml:space="preserve">    "outcome": "Prosecutor informs PD Mandi Martini that the motion to jail Andrew is weak (“nothing substantive”). Only a judicial lecture is expected. Hearing is partly procedural; substantive defense adjourned to 6/12/25. Judge McNeill does lecture Andrew and extends PPO term.",</w:t>
      </w:r>
      <w:r>
        <w:rPr/>
        <w:br/>
      </w:r>
      <w:r>
        <w:rPr>
          <w:rStyle w:val="VerbatimChar"/>
        </w:rPr>
        <w:t xml:space="preserve">    "harm": "Public shaming of Andrew in court without basis; anxiety about possible jail; PPO possibly extended longer."</w:t>
      </w:r>
      <w:r>
        <w:rPr/>
        <w:br/>
      </w:r>
      <w:r>
        <w:rPr>
          <w:rStyle w:val="VerbatimChar"/>
        </w:rPr>
        <w:t xml:space="preserve">  },</w:t>
      </w:r>
      <w:r>
        <w:rPr/>
        <w:br/>
      </w:r>
      <w:r>
        <w:rPr>
          <w:rStyle w:val="VerbatimChar"/>
        </w:rPr>
        <w:t xml:space="preserve">  {</w:t>
      </w:r>
      <w:r>
        <w:rPr/>
        <w:br/>
      </w:r>
      <w:r>
        <w:rPr>
          <w:rStyle w:val="VerbatimChar"/>
        </w:rPr>
        <w:t xml:space="preserve">    "date": "2025-03-04",</w:t>
      </w:r>
      <w:r>
        <w:rPr/>
        <w:br/>
      </w:r>
      <w:r>
        <w:rPr>
          <w:rStyle w:val="VerbatimChar"/>
        </w:rPr>
        <w:t xml:space="preserve">    "event": "Andrew files a Motion to Disqualify Judge McNeill for bias (in PPO case and related matters).",</w:t>
      </w:r>
      <w:r>
        <w:rPr/>
        <w:br/>
      </w:r>
      <w:r>
        <w:rPr>
          <w:rStyle w:val="VerbatimChar"/>
        </w:rPr>
        <w:t xml:space="preserve">    "outcome": "Motion details multiple instances of bias (muting, ignoring evidence, mocking ADHD)[40][63]. The motion is denied by Judge McNeill (and by Chief Judge upon review) – she remains on the case.",</w:t>
      </w:r>
      <w:r>
        <w:rPr/>
        <w:br/>
      </w:r>
      <w:r>
        <w:rPr>
          <w:rStyle w:val="VerbatimChar"/>
        </w:rPr>
        <w:t xml:space="preserve">    "harm": "No change in judge; potentially strained relationship further (judge aware of accusations)."</w:t>
      </w:r>
      <w:r>
        <w:rPr/>
        <w:br/>
      </w:r>
      <w:r>
        <w:rPr>
          <w:rStyle w:val="VerbatimChar"/>
        </w:rPr>
        <w:t xml:space="preserve">  },</w:t>
      </w:r>
      <w:r>
        <w:rPr/>
        <w:br/>
      </w:r>
      <w:r>
        <w:rPr>
          <w:rStyle w:val="VerbatimChar"/>
        </w:rPr>
        <w:t xml:space="preserve">  {</w:t>
      </w:r>
      <w:r>
        <w:rPr/>
        <w:br/>
      </w:r>
      <w:r>
        <w:rPr>
          <w:rStyle w:val="VerbatimChar"/>
        </w:rPr>
        <w:t xml:space="preserve">    "date": "2025-04-22",</w:t>
      </w:r>
      <w:r>
        <w:rPr/>
        <w:br/>
      </w:r>
      <w:r>
        <w:rPr>
          <w:rStyle w:val="VerbatimChar"/>
        </w:rPr>
        <w:t xml:space="preserve">    "event": "Arraignment on PPO Violation Counts #5 and #6 (formal reading of charges, Andrew enters plea of not guilty).",</w:t>
      </w:r>
      <w:r>
        <w:rPr/>
        <w:br/>
      </w:r>
      <w:r>
        <w:rPr>
          <w:rStyle w:val="VerbatimChar"/>
        </w:rPr>
        <w:t xml:space="preserve">    "outcome": "Andrew is informed of charges; opts to continue with Public Defender. Next hearing date set for June. (No evidence presented at this stage)[64].",</w:t>
      </w:r>
      <w:r>
        <w:rPr/>
        <w:br/>
      </w:r>
      <w:r>
        <w:rPr>
          <w:rStyle w:val="VerbatimChar"/>
        </w:rPr>
        <w:t xml:space="preserve">    "harm": "None immediately, though prolonging stress and uncertainty."</w:t>
      </w:r>
      <w:r>
        <w:rPr/>
        <w:br/>
      </w:r>
      <w:r>
        <w:rPr>
          <w:rStyle w:val="VerbatimChar"/>
        </w:rPr>
        <w:t xml:space="preserve">  },</w:t>
      </w:r>
      <w:r>
        <w:rPr/>
        <w:br/>
      </w:r>
      <w:r>
        <w:rPr>
          <w:rStyle w:val="VerbatimChar"/>
        </w:rPr>
        <w:t xml:space="preserve">  {</w:t>
      </w:r>
      <w:r>
        <w:rPr/>
        <w:br/>
      </w:r>
      <w:r>
        <w:rPr>
          <w:rStyle w:val="VerbatimChar"/>
        </w:rPr>
        <w:t xml:space="preserve">    "date": "2025-05-16",</w:t>
      </w:r>
      <w:r>
        <w:rPr/>
        <w:br/>
      </w:r>
      <w:r>
        <w:rPr>
          <w:rStyle w:val="VerbatimChar"/>
        </w:rPr>
        <w:t xml:space="preserve">    "event": "Status conference or hearing. Judge McNeill imposes a $250 bond requirement for any new filings by Andrew.",</w:t>
      </w:r>
      <w:r>
        <w:rPr/>
        <w:br/>
      </w:r>
      <w:r>
        <w:rPr>
          <w:rStyle w:val="VerbatimChar"/>
        </w:rPr>
        <w:t xml:space="preserve">    "outcome": "Andrew reports that the judge ordered him to post $250 to file further motions (likely viewing him as a vexatious filer). This was in response to his frequent objections.",</w:t>
      </w:r>
      <w:r>
        <w:rPr/>
        <w:br/>
      </w:r>
      <w:r>
        <w:rPr>
          <w:rStyle w:val="VerbatimChar"/>
        </w:rPr>
        <w:t xml:space="preserve">    "harm": "Financial burden and chilling effect on Andrew’s access to court; violation of his right to petition."</w:t>
      </w:r>
      <w:r>
        <w:rPr/>
        <w:br/>
      </w:r>
      <w:r>
        <w:rPr>
          <w:rStyle w:val="VerbatimChar"/>
        </w:rPr>
        <w:t xml:space="preserve">  },</w:t>
      </w:r>
      <w:r>
        <w:rPr/>
        <w:br/>
      </w:r>
      <w:r>
        <w:rPr>
          <w:rStyle w:val="VerbatimChar"/>
        </w:rPr>
        <w:t xml:space="preserve">  {</w:t>
      </w:r>
      <w:r>
        <w:rPr/>
        <w:br/>
      </w:r>
      <w:r>
        <w:rPr>
          <w:rStyle w:val="VerbatimChar"/>
        </w:rPr>
        <w:t xml:space="preserve">    "date": "2025-06-12",</w:t>
      </w:r>
      <w:r>
        <w:rPr/>
        <w:br/>
      </w:r>
      <w:r>
        <w:rPr>
          <w:rStyle w:val="VerbatimChar"/>
        </w:rPr>
        <w:t xml:space="preserve">    "event": "Adjudication Hearing for PPO Violations #5 &amp; #6 (trial on the merits of those charges).",</w:t>
      </w:r>
      <w:r>
        <w:rPr/>
        <w:br/>
      </w:r>
      <w:r>
        <w:rPr>
          <w:rStyle w:val="VerbatimChar"/>
        </w:rPr>
        <w:t xml:space="preserve">    "outcome": "Hearing held. PD Mandi Martini defends Andrew, focusing on facts #5 and #6. Outcome: One count likely dismissed (no evidence of violation), one count possibly a technical violation (e.g., inadvertent contact via third party) with minimal penalty. Andrew is not jailed (since he continues to have contact with son afterward).",</w:t>
      </w:r>
      <w:r>
        <w:rPr/>
        <w:br/>
      </w:r>
      <w:r>
        <w:rPr>
          <w:rStyle w:val="VerbatimChar"/>
        </w:rPr>
        <w:t xml:space="preserve">    "harm": "Stress from potential jail averted; however, PPO remains in effect, and Andrew’s record shows multiple violation proceedings."</w:t>
      </w:r>
      <w:r>
        <w:rPr/>
        <w:br/>
      </w:r>
      <w:r>
        <w:rPr>
          <w:rStyle w:val="VerbatimChar"/>
        </w:rPr>
        <w:t xml:space="preserve">  },</w:t>
      </w:r>
      <w:r>
        <w:rPr/>
        <w:br/>
      </w:r>
      <w:r>
        <w:rPr>
          <w:rStyle w:val="VerbatimChar"/>
        </w:rPr>
        <w:t xml:space="preserve">  {</w:t>
      </w:r>
      <w:r>
        <w:rPr/>
        <w:br/>
      </w:r>
      <w:r>
        <w:rPr>
          <w:rStyle w:val="VerbatimChar"/>
        </w:rPr>
        <w:t xml:space="preserve">    "date": "2025-07-29",</w:t>
      </w:r>
      <w:r>
        <w:rPr/>
        <w:br/>
      </w:r>
      <w:r>
        <w:rPr>
          <w:rStyle w:val="VerbatimChar"/>
        </w:rPr>
        <w:t xml:space="preserve">    "event": "Last visitation of Andrew with L.D.W. before new emergency action. (After this date, Emily withholds child again.)",</w:t>
      </w:r>
      <w:r>
        <w:rPr/>
        <w:br/>
      </w:r>
      <w:r>
        <w:rPr>
          <w:rStyle w:val="VerbatimChar"/>
        </w:rPr>
        <w:t xml:space="preserve">    "outcome": "Andrew enjoys parenting time with son on 7/29. Subsequently, Emily denies further visits, anticipating court action.",</w:t>
      </w:r>
      <w:r>
        <w:rPr/>
        <w:br/>
      </w:r>
      <w:r>
        <w:rPr>
          <w:rStyle w:val="VerbatimChar"/>
        </w:rPr>
        <w:t xml:space="preserve">    "harm": "Beginning of a long period (now 48+ days) of zero contact, causing severe emotional distress to both Andrew and Lincoln[7]."</w:t>
      </w:r>
      <w:r>
        <w:rPr/>
        <w:br/>
      </w:r>
      <w:r>
        <w:rPr>
          <w:rStyle w:val="VerbatimChar"/>
        </w:rPr>
        <w:t xml:space="preserve">  },</w:t>
      </w:r>
      <w:r>
        <w:rPr/>
        <w:br/>
      </w:r>
      <w:r>
        <w:rPr>
          <w:rStyle w:val="VerbatimChar"/>
        </w:rPr>
        <w:t xml:space="preserve">  {</w:t>
      </w:r>
      <w:r>
        <w:rPr/>
        <w:br/>
      </w:r>
      <w:r>
        <w:rPr>
          <w:rStyle w:val="VerbatimChar"/>
        </w:rPr>
        <w:t xml:space="preserve">    "date": "2025-08-08",</w:t>
      </w:r>
      <w:r>
        <w:rPr/>
        <w:br/>
      </w:r>
      <w:r>
        <w:rPr>
          <w:rStyle w:val="VerbatimChar"/>
        </w:rPr>
        <w:t xml:space="preserve">    "event": "Emily files an **Emergency Ex Parte Motion** in the custody case, claiming immediate risk to L.D.W. if Andrew’s parenting time continues.",</w:t>
      </w:r>
      <w:r>
        <w:rPr/>
        <w:br/>
      </w:r>
      <w:r>
        <w:rPr>
          <w:rStyle w:val="VerbatimChar"/>
        </w:rPr>
        <w:t xml:space="preserve">    "outcome": "Judge McNeill grants the ex parte order the same day, **suspending all of Andrew’s parenting time** effective immediately[34]. The order cites concern but explicitly notes lack of specific evidence of harm. Andrew files an objection on 8/08, which the court does not address immediately[49].",</w:t>
      </w:r>
      <w:r>
        <w:rPr/>
        <w:br/>
      </w:r>
      <w:r>
        <w:rPr>
          <w:rStyle w:val="VerbatimChar"/>
        </w:rPr>
        <w:t xml:space="preserve">    "harm": "**Custodial interference** (court-sanctioned): Andrew is completely barred from seeing or contacting his son. Lincoln is deprived of his father indefinitely. Enormous emotional harm ensues."</w:t>
      </w:r>
      <w:r>
        <w:rPr/>
        <w:br/>
      </w:r>
      <w:r>
        <w:rPr>
          <w:rStyle w:val="VerbatimChar"/>
        </w:rPr>
        <w:t xml:space="preserve">  },</w:t>
      </w:r>
      <w:r>
        <w:rPr/>
        <w:br/>
      </w:r>
      <w:r>
        <w:rPr>
          <w:rStyle w:val="VerbatimChar"/>
        </w:rPr>
        <w:t xml:space="preserve">  {</w:t>
      </w:r>
      <w:r>
        <w:rPr/>
        <w:br/>
      </w:r>
      <w:r>
        <w:rPr>
          <w:rStyle w:val="VerbatimChar"/>
        </w:rPr>
        <w:t xml:space="preserve">    "date": "2025-08-17",</w:t>
      </w:r>
      <w:r>
        <w:rPr/>
        <w:br/>
      </w:r>
      <w:r>
        <w:rPr>
          <w:rStyle w:val="VerbatimChar"/>
        </w:rPr>
        <w:t xml:space="preserve">    "event": "Deadline for hearing on objection to ex parte (14 days) passes without a hearing.",</w:t>
      </w:r>
      <w:r>
        <w:rPr/>
        <w:br/>
      </w:r>
      <w:r>
        <w:rPr>
          <w:rStyle w:val="VerbatimChar"/>
        </w:rPr>
        <w:t xml:space="preserve">    "outcome": "No hearing is held by this date. (The court schedules a combined hearing later, in early September.) Andrew remains without parenting time in the interim.",</w:t>
      </w:r>
      <w:r>
        <w:rPr/>
        <w:br/>
      </w:r>
      <w:r>
        <w:rPr>
          <w:rStyle w:val="VerbatimChar"/>
        </w:rPr>
        <w:t xml:space="preserve">    "harm": "Procedural harm: statutory right to prompt hearing violated; each day of separation increases harm to child-father bond."</w:t>
      </w:r>
      <w:r>
        <w:rPr/>
        <w:br/>
      </w:r>
      <w:r>
        <w:rPr>
          <w:rStyle w:val="VerbatimChar"/>
        </w:rPr>
        <w:t xml:space="preserve">  },</w:t>
      </w:r>
      <w:r>
        <w:rPr/>
        <w:br/>
      </w:r>
      <w:r>
        <w:rPr>
          <w:rStyle w:val="VerbatimChar"/>
        </w:rPr>
        <w:t xml:space="preserve">  {</w:t>
      </w:r>
      <w:r>
        <w:rPr/>
        <w:br/>
      </w:r>
      <w:r>
        <w:rPr>
          <w:rStyle w:val="VerbatimChar"/>
        </w:rPr>
        <w:t xml:space="preserve">    "date": "2025-09-04",</w:t>
      </w:r>
      <w:r>
        <w:rPr/>
        <w:br/>
      </w:r>
      <w:r>
        <w:rPr>
          <w:rStyle w:val="VerbatimChar"/>
        </w:rPr>
        <w:t xml:space="preserve">    "event": "Consolidated hearing on custody/PPO (post-ex parte). Judge hears evidence including HealthWest evaluation and family recordings.",</w:t>
      </w:r>
      <w:r>
        <w:rPr/>
        <w:br/>
      </w:r>
      <w:r>
        <w:rPr>
          <w:rStyle w:val="VerbatimChar"/>
        </w:rPr>
        <w:t xml:space="preserve">    "outcome": "Judge McNeill issues order (dated 9/4/25 or 9/5/25) **continuing the suspension of Andrew’s parenting time**[32]. She **disregards the HealthWest psychological assessment** (which found Andrew fit) because it conflicts with her assumptions[32]. She allows Emily’s family recordings (USB drive) over Andrew’s objections.",</w:t>
      </w:r>
      <w:r>
        <w:rPr/>
        <w:br/>
      </w:r>
      <w:r>
        <w:rPr>
          <w:rStyle w:val="VerbatimChar"/>
        </w:rPr>
        <w:t xml:space="preserve">    "harm": "Ongoing **parental deprivation** for Andrew; Lincoln kept from father despite lack of evidence of harm. Court’s disregard of evidence and bias cause further **procedural injustice**."</w:t>
      </w:r>
      <w:r>
        <w:rPr/>
        <w:br/>
      </w:r>
      <w:r>
        <w:rPr>
          <w:rStyle w:val="VerbatimChar"/>
        </w:rPr>
        <w:t xml:space="preserve">  },</w:t>
      </w:r>
      <w:r>
        <w:rPr/>
        <w:br/>
      </w:r>
      <w:r>
        <w:rPr>
          <w:rStyle w:val="VerbatimChar"/>
        </w:rPr>
        <w:t xml:space="preserve">  {</w:t>
      </w:r>
      <w:r>
        <w:rPr/>
        <w:br/>
      </w:r>
      <w:r>
        <w:rPr>
          <w:rStyle w:val="VerbatimChar"/>
        </w:rPr>
        <w:t xml:space="preserve">    "date": "2025-09-12",</w:t>
      </w:r>
      <w:r>
        <w:rPr/>
        <w:br/>
      </w:r>
      <w:r>
        <w:rPr>
          <w:rStyle w:val="VerbatimChar"/>
        </w:rPr>
        <w:t xml:space="preserve">    "event": "Andrew completes a second mental health evaluation at HealthWest (as per court’s request for additional evaluation).",</w:t>
      </w:r>
      <w:r>
        <w:rPr/>
        <w:br/>
      </w:r>
      <w:r>
        <w:rPr>
          <w:rStyle w:val="VerbatimChar"/>
        </w:rPr>
        <w:t xml:space="preserve">    "outcome": "Report is released to Muskegon County Courts on 9/12[7]. It presumably finds no issues (consistent with first eval). Judge instructs this be sent to her secretary (off-record)[54].",</w:t>
      </w:r>
      <w:r>
        <w:rPr/>
        <w:br/>
      </w:r>
      <w:r>
        <w:rPr>
          <w:rStyle w:val="VerbatimChar"/>
        </w:rPr>
        <w:t xml:space="preserve">    "harm": "No immediate change; Andrew complies fully, incurring time/cost for eval. (Judge’s private handling deprives him of record evidence in his favor.)"</w:t>
      </w:r>
      <w:r>
        <w:rPr/>
        <w:br/>
      </w:r>
      <w:r>
        <w:rPr>
          <w:rStyle w:val="VerbatimChar"/>
        </w:rPr>
        <w:t xml:space="preserve">  },</w:t>
      </w:r>
      <w:r>
        <w:rPr/>
        <w:br/>
      </w:r>
      <w:r>
        <w:rPr>
          <w:rStyle w:val="VerbatimChar"/>
        </w:rPr>
        <w:t xml:space="preserve">  {</w:t>
      </w:r>
      <w:r>
        <w:rPr/>
        <w:br/>
      </w:r>
      <w:r>
        <w:rPr>
          <w:rStyle w:val="VerbatimChar"/>
        </w:rPr>
        <w:t xml:space="preserve">    "date": "2025-09-15",</w:t>
      </w:r>
      <w:r>
        <w:rPr/>
        <w:br/>
      </w:r>
      <w:r>
        <w:rPr>
          <w:rStyle w:val="VerbatimChar"/>
        </w:rPr>
        <w:t xml:space="preserve">    "event": "Andrew emails FOC caseworker (Pamela Rusco) detailing compliance and lack of visitation.",</w:t>
      </w:r>
      <w:r>
        <w:rPr/>
        <w:br/>
      </w:r>
      <w:r>
        <w:rPr>
          <w:rStyle w:val="VerbatimChar"/>
        </w:rPr>
        <w:t xml:space="preserve">    "outcome": "Andrew notes it’s been **48 days since he last saw his son** (since 7/29)[7]. He asks if anything more is required now that evaluation is done.",</w:t>
      </w:r>
      <w:r>
        <w:rPr/>
        <w:br/>
      </w:r>
      <w:r>
        <w:rPr>
          <w:rStyle w:val="VerbatimChar"/>
        </w:rPr>
        <w:t xml:space="preserve">    "harm": "This marks almost two months of parent-child separation. Documenting **psychological harm**: both are suffering from the prolonged separation."</w:t>
      </w:r>
      <w:r>
        <w:rPr/>
        <w:br/>
      </w:r>
      <w:r>
        <w:rPr>
          <w:rStyle w:val="VerbatimChar"/>
        </w:rPr>
        <w:t xml:space="preserve">  },</w:t>
      </w:r>
      <w:r>
        <w:rPr/>
        <w:br/>
      </w:r>
      <w:r>
        <w:rPr>
          <w:rStyle w:val="VerbatimChar"/>
        </w:rPr>
        <w:t xml:space="preserve">  {</w:t>
      </w:r>
      <w:r>
        <w:rPr/>
        <w:br/>
      </w:r>
      <w:r>
        <w:rPr>
          <w:rStyle w:val="VerbatimChar"/>
        </w:rPr>
        <w:t xml:space="preserve">    "date": "2025-09-26",</w:t>
      </w:r>
      <w:r>
        <w:rPr/>
        <w:br/>
      </w:r>
      <w:r>
        <w:rPr>
          <w:rStyle w:val="VerbatimChar"/>
        </w:rPr>
        <w:t xml:space="preserve">    "event": "Andrew files an **Omnibus Unified Motion** in custody/PPO cases (to modify custody, terminate PPO, address contempt of court issues, etc.).",</w:t>
      </w:r>
      <w:r>
        <w:rPr/>
        <w:br/>
      </w:r>
      <w:r>
        <w:rPr>
          <w:rStyle w:val="VerbatimChar"/>
        </w:rPr>
        <w:t xml:space="preserve">    "outcome": "This comprehensive pro se motion compiles all evidence of Emily’s misconduct and Judge’s violations, effectively laying groundwork for appeals or separate actions. A hearing on these motions is pending (likely set for late 2025).",</w:t>
      </w:r>
      <w:r>
        <w:rPr/>
        <w:br/>
      </w:r>
      <w:r>
        <w:rPr>
          <w:rStyle w:val="VerbatimChar"/>
        </w:rPr>
        <w:t xml:space="preserve">    "harm": "No immediate relief yet. Andrew’s effort indicates desperation to use all legal avenues; case turning point as evidence is formally compiled."</w:t>
      </w:r>
      <w:r>
        <w:rPr/>
        <w:br/>
      </w:r>
      <w:r>
        <w:rPr>
          <w:rStyle w:val="VerbatimChar"/>
        </w:rPr>
        <w:t xml:space="preserve">  }</w:t>
      </w:r>
      <w:r>
        <w:rPr/>
        <w:br/>
      </w:r>
      <w:r>
        <w:rPr>
          <w:rStyle w:val="VerbatimChar"/>
        </w:rPr>
        <w:t>]</w:t>
      </w:r>
    </w:p>
    <w:p>
      <w:pPr>
        <w:pStyle w:val="FirstParagraph"/>
        <w:rPr/>
      </w:pPr>
      <w:r>
        <w:rPr>
          <w:i/>
          <w:iCs/>
        </w:rPr>
        <w:t>(The JSON timeline above can be saved as</w:t>
      </w:r>
      <w:r>
        <w:rPr/>
        <w:t xml:space="preserve"> </w:t>
      </w:r>
      <w:r>
        <w:rPr>
          <w:i/>
          <w:iCs/>
        </w:rPr>
        <w:t>timeline.json. It captures each major event, the outcome, and the type of harm caused. All times are local Michigan time. Going forward, new events can be appended in similar format, ensuring no data is overwritten.)</w:t>
      </w:r>
    </w:p>
    <w:p>
      <w:pPr>
        <w:pStyle w:val="BodyText"/>
        <w:rPr/>
      </w:pPr>
      <w:r>
        <w:rPr>
          <w:b/>
          <w:bCs/>
        </w:rPr>
        <w:t>Analysis of Harm:</w:t>
      </w:r>
      <w:r>
        <w:rPr/>
        <w:t xml:space="preserve"> The timeline events have led to several categories of harm to Andrew and L.D.W.:</w:t>
      </w:r>
    </w:p>
    <w:p>
      <w:pPr>
        <w:pStyle w:val="Normal"/>
        <w:numPr>
          <w:ilvl w:val="0"/>
          <w:numId w:val="39"/>
        </w:numPr>
        <w:rPr/>
      </w:pPr>
      <w:r>
        <w:rPr>
          <w:b/>
          <w:bCs/>
        </w:rPr>
        <w:t>Psychological Harm:</w:t>
      </w:r>
      <w:r>
        <w:rPr/>
        <w:t xml:space="preserve"> Both child and father have suffered emotionally. L.D.W. experienced confusion, anxiety, and </w:t>
      </w:r>
      <w:r>
        <w:rPr>
          <w:b/>
          <w:bCs/>
        </w:rPr>
        <w:t>emotional distress</w:t>
      </w:r>
      <w:r>
        <w:rPr/>
        <w:t xml:space="preserve"> from being abruptly separated from his father and exposed to adult conflict</w:t>
      </w:r>
      <w:hyperlink r:id="rId99">
        <w:r>
          <w:rPr>
            <w:rStyle w:val="Hyperlink"/>
          </w:rPr>
          <w:t>[65]</w:t>
        </w:r>
      </w:hyperlink>
      <w:r>
        <w:rPr/>
        <w:t>. Andrew has endured extreme stress (fear of unjust incarceration, helplessness as his child is kept away). For instance, by September 2025, Andrew expressed the agony of not seeing his son for 48 days</w:t>
      </w:r>
      <w:r>
        <w:fldChar w:fldCharType="begin"/>
      </w:r>
      <w:r>
        <w:rPr>
          <w:rStyle w:val="Hyperlink"/>
        </w:rPr>
        <w:instrText xml:space="preserve"> HYPERLINK "https://mail.google.com/mail/u/0/" \l "all/1994e5c10775b3db"</w:instrText>
      </w:r>
      <w:r>
        <w:rPr>
          <w:rStyle w:val="Hyperlink"/>
        </w:rPr>
        <w:fldChar w:fldCharType="separate"/>
      </w:r>
      <w:r>
        <w:rPr>
          <w:rStyle w:val="Hyperlink"/>
        </w:rPr>
        <w:t>[7]</w:t>
      </w:r>
      <w:r>
        <w:rPr>
          <w:rStyle w:val="Hyperlink"/>
        </w:rPr>
        <w:fldChar w:fldCharType="end"/>
      </w:r>
      <w:r>
        <w:rPr/>
        <w:t xml:space="preserve">. </w:t>
      </w:r>
      <w:r>
        <w:rPr>
          <w:i/>
          <w:iCs/>
        </w:rPr>
        <w:t>Potential Remedy:</w:t>
      </w:r>
      <w:r>
        <w:rPr/>
        <w:t xml:space="preserve"> Reunification therapy for the child, court-ordered counseling, and immediate resumption of contact are needed to begin healing this harm. Andrew has requested </w:t>
      </w:r>
      <w:r>
        <w:rPr>
          <w:b/>
          <w:bCs/>
        </w:rPr>
        <w:t>make-up parenting time</w:t>
      </w:r>
      <w:r>
        <w:rPr/>
        <w:t xml:space="preserve"> to help repair the parent-child bond and compensate for lost time</w:t>
      </w:r>
      <w:hyperlink r:id="rId100">
        <w:r>
          <w:rPr>
            <w:rStyle w:val="Hyperlink"/>
          </w:rPr>
          <w:t>[66]</w:t>
        </w:r>
      </w:hyperlink>
      <w:r>
        <w:rPr/>
        <w:t>. Additionally, punitive measures against the party who caused the alienation (Emily) could deter future psychological harm (e.g. considering a change of custody if it serves the child’s emotional best interests).</w:t>
      </w:r>
    </w:p>
    <w:p>
      <w:pPr>
        <w:pStyle w:val="Normal"/>
        <w:numPr>
          <w:ilvl w:val="0"/>
          <w:numId w:val="40"/>
        </w:numPr>
        <w:rPr/>
      </w:pPr>
      <w:r>
        <w:rPr>
          <w:b/>
          <w:bCs/>
        </w:rPr>
        <w:t>Custodial/Parental Rights Harm:</w:t>
      </w:r>
      <w:r>
        <w:rPr/>
        <w:t xml:space="preserve"> Andrew’s </w:t>
      </w:r>
      <w:r>
        <w:rPr>
          <w:b/>
          <w:bCs/>
        </w:rPr>
        <w:t>fundamental right to parent</w:t>
      </w:r>
      <w:r>
        <w:rPr/>
        <w:t xml:space="preserve"> has been severely infringed. He went from equal/shared custody to effectively zero custody, not due to evidence of unfitness but due to wrongful allegations and irregular court orders</w:t>
      </w:r>
      <w:hyperlink r:id="rId101">
        <w:r>
          <w:rPr>
            <w:rStyle w:val="Hyperlink"/>
          </w:rPr>
          <w:t>[17]</w:t>
        </w:r>
      </w:hyperlink>
      <w:r>
        <w:rPr/>
        <w:t xml:space="preserve">. This has deprived him of precious, irreplaceable time during his son’s early years and has damaged his relationship with L.D.W. (the child is growing up with one parent erased for long stretches). </w:t>
      </w:r>
      <w:r>
        <w:rPr>
          <w:i/>
          <w:iCs/>
        </w:rPr>
        <w:t>Potential Remedy:</w:t>
      </w:r>
      <w:r>
        <w:rPr/>
        <w:t xml:space="preserve"> The primary remedy is </w:t>
      </w:r>
      <w:r>
        <w:rPr>
          <w:b/>
          <w:bCs/>
        </w:rPr>
        <w:t>restoration of custody/parenting time</w:t>
      </w:r>
      <w:r>
        <w:rPr/>
        <w:t xml:space="preserve">. Andrew is seeking at least a return to </w:t>
      </w:r>
      <w:r>
        <w:rPr>
          <w:b/>
          <w:bCs/>
        </w:rPr>
        <w:t>50/50 custody</w:t>
      </w:r>
      <w:r>
        <w:rPr/>
        <w:t xml:space="preserve"> as the facts warrant</w:t>
      </w:r>
      <w:hyperlink r:id="rId102">
        <w:r>
          <w:rPr>
            <w:rStyle w:val="Hyperlink"/>
          </w:rPr>
          <w:t>[67]</w:t>
        </w:r>
      </w:hyperlink>
      <w:r>
        <w:rPr/>
        <w:t xml:space="preserve">, or sole custody if Emily is found to be actively harming the child’s welfare through alienation. Enforcement of parenting time orders (make-up days, and sanctions if Emily withholds again) is also essential. In addition, this harm underpins a possible </w:t>
      </w:r>
      <w:r>
        <w:rPr>
          <w:b/>
          <w:bCs/>
        </w:rPr>
        <w:t>civil rights claim</w:t>
      </w:r>
      <w:r>
        <w:rPr/>
        <w:t xml:space="preserve"> (violation of Andrew’s 14th Amendment right to family integrity under color of law). While suing the judge is not feasible (judicial immunity), if the pattern is egregious enough, Andrew could explore a federal lawsuit against the county or seek U.S. DOJ attention for denial of rights (though these are uphill battles). More directly, an </w:t>
      </w:r>
      <w:r>
        <w:rPr>
          <w:b/>
          <w:bCs/>
        </w:rPr>
        <w:t>appeal</w:t>
      </w:r>
      <w:r>
        <w:rPr/>
        <w:t xml:space="preserve"> of the custody and PPO decisions – arguing that the court’s actions were against the great weight of evidence and an abuse of discretion – could overturn orders and restore his custodial rights.</w:t>
      </w:r>
    </w:p>
    <w:p>
      <w:pPr>
        <w:pStyle w:val="Normal"/>
        <w:numPr>
          <w:ilvl w:val="0"/>
          <w:numId w:val="41"/>
        </w:numPr>
        <w:rPr/>
      </w:pPr>
      <w:r>
        <w:rPr>
          <w:b/>
          <w:bCs/>
        </w:rPr>
        <w:t>Financial Harm:</w:t>
      </w:r>
      <w:r>
        <w:rPr/>
        <w:t xml:space="preserve"> Andrew has been subjected to financial strain in multiple ways. He was paying </w:t>
      </w:r>
      <w:r>
        <w:rPr>
          <w:b/>
          <w:bCs/>
        </w:rPr>
        <w:t>child support calculated on false information</w:t>
      </w:r>
      <w:r>
        <w:rPr/>
        <w:t xml:space="preserve"> (Emily’s hidden income)</w:t>
      </w:r>
      <w:hyperlink r:id="rId103">
        <w:r>
          <w:rPr>
            <w:rStyle w:val="Hyperlink"/>
          </w:rPr>
          <w:t>[11]</w:t>
        </w:r>
      </w:hyperlink>
      <w:r>
        <w:rPr/>
        <w:t xml:space="preserve">. He also incurred costs for legal filings, copies, and mental health evaluations (the latter presumably at his own expense) due to the court’s requirements. Moreover, if he had any income tax intercepted or other penalties due to the PPO (like inability to work certain jobs), those are financial harms. </w:t>
      </w:r>
      <w:r>
        <w:rPr>
          <w:i/>
          <w:iCs/>
        </w:rPr>
        <w:t>Potential Remedy:</w:t>
      </w:r>
      <w:r>
        <w:rPr/>
        <w:t xml:space="preserve"> Andrew requests a </w:t>
      </w:r>
      <w:r>
        <w:rPr>
          <w:b/>
          <w:bCs/>
        </w:rPr>
        <w:t>recalculation of child support</w:t>
      </w:r>
      <w:r>
        <w:rPr/>
        <w:t xml:space="preserve"> and </w:t>
      </w:r>
      <w:r>
        <w:rPr>
          <w:b/>
          <w:bCs/>
        </w:rPr>
        <w:t>reimbursement</w:t>
      </w:r>
      <w:r>
        <w:rPr/>
        <w:t xml:space="preserve"> of excess support paid based on Emily’s misrepresentations</w:t>
      </w:r>
      <w:hyperlink r:id="rId104">
        <w:r>
          <w:rPr>
            <w:rStyle w:val="Hyperlink"/>
          </w:rPr>
          <w:t>[11]</w:t>
        </w:r>
      </w:hyperlink>
      <w:hyperlink r:id="rId105">
        <w:r>
          <w:rPr>
            <w:rStyle w:val="Hyperlink"/>
          </w:rPr>
          <w:t>[68]</w:t>
        </w:r>
      </w:hyperlink>
      <w:r>
        <w:rPr/>
        <w:t>. MCL 552.17 allows modification of support when incomes were misstated. He has specifically cited that law to seek credit for the undisclosed support Emily received</w:t>
      </w:r>
      <w:hyperlink r:id="rId106">
        <w:r>
          <w:rPr>
            <w:rStyle w:val="Hyperlink"/>
          </w:rPr>
          <w:t>[68]</w:t>
        </w:r>
      </w:hyperlink>
      <w:r>
        <w:rPr/>
        <w:t xml:space="preserve">. Additionally, Andrew may pursue a </w:t>
      </w:r>
      <w:r>
        <w:rPr>
          <w:b/>
          <w:bCs/>
        </w:rPr>
        <w:t>tort claim for fraud</w:t>
      </w:r>
      <w:r>
        <w:rPr/>
        <w:t xml:space="preserve"> related to the financial misrepresentation (though typically one would address it within the family court). If Emily’s actions (like wrongful eviction via PPO misuse) caused him direct financial losses (e.g., cost of new housing, lost personal property), he could sue for </w:t>
      </w:r>
      <w:r>
        <w:rPr>
          <w:b/>
          <w:bCs/>
        </w:rPr>
        <w:t>damages</w:t>
      </w:r>
      <w:r>
        <w:rPr/>
        <w:t xml:space="preserve"> under MCL 600.2918 (anti-lockout statute) or for conversion of any belongings she took. Finally, sanctions against Emily in court (e.g., ordering her to pay his attorney fees under MCR 3.206(C) for bad-faith filings) could offset some costs – this is something Andrew can request as part of relief for her misconduct.</w:t>
      </w:r>
    </w:p>
    <w:p>
      <w:pPr>
        <w:pStyle w:val="Normal"/>
        <w:numPr>
          <w:ilvl w:val="0"/>
          <w:numId w:val="42"/>
        </w:numPr>
        <w:rPr/>
      </w:pPr>
      <w:r>
        <w:rPr>
          <w:b/>
          <w:bCs/>
        </w:rPr>
        <w:t>Procedural/Constitutional Harm:</w:t>
      </w:r>
      <w:r>
        <w:rPr/>
        <w:t xml:space="preserve"> There have been significant violations of Andrew’s </w:t>
      </w:r>
      <w:r>
        <w:rPr>
          <w:b/>
          <w:bCs/>
        </w:rPr>
        <w:t>due process and fair trial rights</w:t>
      </w:r>
      <w:r>
        <w:rPr/>
        <w:t xml:space="preserve">. He was denied a neutral judge and a fair opportunity to present his case. This harm strikes at the integrity of the justice system and has prolonged the dispute unnecessarily. </w:t>
      </w:r>
      <w:r>
        <w:rPr>
          <w:i/>
          <w:iCs/>
        </w:rPr>
        <w:t>Potential Remedy:</w:t>
      </w:r>
      <w:r>
        <w:rPr/>
        <w:t xml:space="preserve"> The remedy for procedural harm is primarily through the </w:t>
      </w:r>
      <w:r>
        <w:rPr>
          <w:b/>
          <w:bCs/>
        </w:rPr>
        <w:t>appellate process or supervisory review</w:t>
      </w:r>
      <w:r>
        <w:rPr/>
        <w:t xml:space="preserve">. Andrew can file an </w:t>
      </w:r>
      <w:r>
        <w:rPr>
          <w:b/>
          <w:bCs/>
        </w:rPr>
        <w:t>appeal</w:t>
      </w:r>
      <w:r>
        <w:rPr/>
        <w:t xml:space="preserve"> or an original action for superintending control, arguing that the trial court violated his procedural rights (for example, appeal the August 2025 ex parte order and subsequent orders for lack of due process). If successful, an appellate court could vacate those orders and remand for proper proceedings (ideally before a different judge). Andrew is also assembling a </w:t>
      </w:r>
      <w:r>
        <w:rPr>
          <w:b/>
          <w:bCs/>
        </w:rPr>
        <w:t>Judicial Tenure Commission complaint</w:t>
      </w:r>
      <w:r>
        <w:rPr/>
        <w:t xml:space="preserve"> against Judge McNeill – while that doesn’t directly change his case outcome, it addresses the harm by seeking discipline for the judge and can bolster his narrative in court that her rulings should be viewed skeptically. Moreover, Andrew’s motion to disqualify (though denied) preserves the issue for appeal; if an appellate court finds bias, it can remand the case to a new judge for rehearing, which would be a significant remedy. In a broader sense, documenting these procedural harms builds the case for </w:t>
      </w:r>
      <w:r>
        <w:rPr>
          <w:b/>
          <w:bCs/>
        </w:rPr>
        <w:t>systemic reform</w:t>
      </w:r>
      <w:r>
        <w:rPr/>
        <w:t xml:space="preserve"> – though that’s beyond the immediate scope, it’s worth noting for any external complaints or media attention that Andrew might leverage.</w:t>
      </w:r>
    </w:p>
    <w:p>
      <w:pPr>
        <w:pStyle w:val="FirstParagraph"/>
        <w:rPr/>
      </w:pPr>
      <w:r>
        <w:rPr/>
        <w:t xml:space="preserve">Each category of harm is tied to specific rule violations and evidence, as logged above. The harm analysis not only humanizes the dry rule violations but also points to </w:t>
      </w:r>
      <w:r>
        <w:rPr>
          <w:b/>
          <w:bCs/>
        </w:rPr>
        <w:t>appropriate legal responses</w:t>
      </w:r>
      <w:r>
        <w:rPr/>
        <w:t>. These will feed into the strategic bundles discussed next – ensuring that the relief sought aligns with the harms proven.</w:t>
      </w:r>
      <w:bookmarkEnd w:id="12"/>
    </w:p>
    <w:p>
      <w:pPr>
        <w:pStyle w:val="Heading2"/>
        <w:rPr/>
      </w:pPr>
      <w:bookmarkStart w:id="13" w:name="X343b0e4c99d97800b33547eed653c2a5d32255f"/>
      <w:r>
        <w:rPr/>
        <w:t>Exhibit Index (Evidence Catalog with Rule Violations &amp; Hashes)</w:t>
      </w:r>
    </w:p>
    <w:p>
      <w:pPr>
        <w:pStyle w:val="FirstParagraph"/>
        <w:rPr/>
      </w:pPr>
      <w:r>
        <w:rPr/>
        <w:t xml:space="preserve">Below is a comprehensive index of </w:t>
      </w:r>
      <w:r>
        <w:rPr>
          <w:b/>
          <w:bCs/>
        </w:rPr>
        <w:t>exhibits (A–Z)</w:t>
      </w:r>
      <w:r>
        <w:rPr/>
        <w:t xml:space="preserve"> referencing the evidence in this case. Each exhibit is labeled with a brief description, relevant date, associated rule/violation, and a placeholder for the digital fingerprint (SHA-256 hash) of the evidence file:</w:t>
      </w:r>
    </w:p>
    <w:p>
      <w:pPr>
        <w:pStyle w:val="Normal"/>
        <w:numPr>
          <w:ilvl w:val="0"/>
          <w:numId w:val="43"/>
        </w:numPr>
        <w:rPr/>
      </w:pPr>
      <w:r>
        <w:rPr>
          <w:b/>
          <w:bCs/>
        </w:rPr>
        <w:t>Exhibit A – Police Report (Muskegon PD, 2023-10-15):</w:t>
      </w:r>
      <w:r>
        <w:rPr/>
        <w:t xml:space="preserve"> Incident report from welfare check on 15-Oct-2023, stating </w:t>
      </w:r>
      <w:r>
        <w:rPr>
          <w:b/>
          <w:bCs/>
        </w:rPr>
        <w:t>no issues found</w:t>
      </w:r>
      <w:r>
        <w:rPr/>
        <w:t xml:space="preserve"> during check</w:t>
      </w:r>
      <w:hyperlink r:id="rId107">
        <w:r>
          <w:rPr>
            <w:rStyle w:val="Hyperlink"/>
          </w:rPr>
          <w:t>[30]</w:t>
        </w:r>
      </w:hyperlink>
      <w:r>
        <w:rPr/>
        <w:t xml:space="preserve">. </w:t>
      </w:r>
      <w:r>
        <w:rPr>
          <w:i/>
          <w:iCs/>
        </w:rPr>
        <w:t>Violations:</w:t>
      </w:r>
      <w:r>
        <w:rPr/>
        <w:t xml:space="preserve"> Contradicts Emily’s false claim of danger (evidence of her false report). </w:t>
      </w:r>
      <w:r>
        <w:rPr>
          <w:i/>
          <w:iCs/>
        </w:rPr>
        <w:t>SHA-256:</w:t>
      </w:r>
      <w:r>
        <w:rPr/>
        <w:t xml:space="preserve"> </w:t>
      </w:r>
      <w:r>
        <w:rPr>
          <w:rStyle w:val="VerbatimChar"/>
        </w:rPr>
        <w:t>d78c110784c8f2f875485d6479535f16c500f4edeb5306421f94f9bb06a21dd2</w:t>
      </w:r>
      <w:r>
        <w:rPr/>
        <w:t xml:space="preserve"> (example hash).</w:t>
      </w:r>
    </w:p>
    <w:p>
      <w:pPr>
        <w:pStyle w:val="Normal"/>
        <w:numPr>
          <w:ilvl w:val="0"/>
          <w:numId w:val="44"/>
        </w:numPr>
        <w:rPr/>
      </w:pPr>
      <w:r>
        <w:rPr>
          <w:b/>
          <w:bCs/>
        </w:rPr>
        <w:t>Exhibit B – Police Report (Norton Shores PD, 2023-11-12):</w:t>
      </w:r>
      <w:r>
        <w:rPr/>
        <w:t xml:space="preserve"> Report from 12-Nov-2023 welfare check; notes Andrew was not suicidal as alleged</w:t>
      </w:r>
      <w:hyperlink r:id="rId108">
        <w:r>
          <w:rPr>
            <w:rStyle w:val="Hyperlink"/>
          </w:rPr>
          <w:t>[31]</w:t>
        </w:r>
      </w:hyperlink>
      <w:r>
        <w:rPr/>
        <w:t xml:space="preserve">. </w:t>
      </w:r>
      <w:r>
        <w:rPr>
          <w:i/>
          <w:iCs/>
        </w:rPr>
        <w:t>Violations:</w:t>
      </w:r>
      <w:r>
        <w:rPr/>
        <w:t xml:space="preserve"> Evidence of </w:t>
      </w:r>
      <w:r>
        <w:rPr>
          <w:b/>
          <w:bCs/>
        </w:rPr>
        <w:t>false emergency call</w:t>
      </w:r>
      <w:r>
        <w:rPr/>
        <w:t xml:space="preserve"> by Emily (perjury if claimed in court). </w:t>
      </w:r>
      <w:r>
        <w:rPr>
          <w:i/>
          <w:iCs/>
        </w:rPr>
        <w:t>SHA-256:</w:t>
      </w:r>
      <w:r>
        <w:rPr/>
        <w:t xml:space="preserve"> (to be added)</w:t>
      </w:r>
    </w:p>
    <w:p>
      <w:pPr>
        <w:pStyle w:val="Normal"/>
        <w:numPr>
          <w:ilvl w:val="0"/>
          <w:numId w:val="45"/>
        </w:numPr>
        <w:rPr/>
      </w:pPr>
      <w:r>
        <w:rPr>
          <w:b/>
          <w:bCs/>
        </w:rPr>
        <w:t>Exhibit C – ER Medical Records (Trinity Health Muskegon, 2023-11-17):</w:t>
      </w:r>
      <w:r>
        <w:rPr/>
        <w:t xml:space="preserve"> Records of Emily’s ER visit for alleged poisoning. </w:t>
      </w:r>
      <w:r>
        <w:rPr>
          <w:b/>
          <w:bCs/>
        </w:rPr>
        <w:t>Diagnosis:</w:t>
      </w:r>
      <w:r>
        <w:rPr/>
        <w:t xml:space="preserve"> Hypertension/stress, </w:t>
      </w:r>
      <w:r>
        <w:rPr>
          <w:b/>
          <w:bCs/>
        </w:rPr>
        <w:t>no poison detected</w:t>
      </w:r>
      <w:hyperlink r:id="rId109">
        <w:r>
          <w:rPr>
            <w:rStyle w:val="Hyperlink"/>
          </w:rPr>
          <w:t>[15]</w:t>
        </w:r>
      </w:hyperlink>
      <w:r>
        <w:rPr/>
        <w:t xml:space="preserve">. </w:t>
      </w:r>
      <w:r>
        <w:rPr>
          <w:i/>
          <w:iCs/>
        </w:rPr>
        <w:t>Violations:</w:t>
      </w:r>
      <w:r>
        <w:rPr/>
        <w:t xml:space="preserve"> Refutes PPO allegation of poisoning; shows Emily’s sworn claims were false (perjury, MCL 750.423). </w:t>
      </w:r>
      <w:r>
        <w:rPr>
          <w:i/>
          <w:iCs/>
        </w:rPr>
        <w:t>SHA-256:</w:t>
      </w:r>
      <w:r>
        <w:rPr/>
        <w:t xml:space="preserve"> (to be added)</w:t>
      </w:r>
    </w:p>
    <w:p>
      <w:pPr>
        <w:pStyle w:val="Normal"/>
        <w:numPr>
          <w:ilvl w:val="0"/>
          <w:numId w:val="46"/>
        </w:numPr>
        <w:rPr/>
      </w:pPr>
      <w:r>
        <w:rPr>
          <w:b/>
          <w:bCs/>
        </w:rPr>
        <w:t>Exhibit D – Photographs of Mason Jar &amp; Webcam (11/16/2023):</w:t>
      </w:r>
      <w:r>
        <w:rPr/>
        <w:t xml:space="preserve"> Photos taken by Andrew of his belongings on 16-Nov-2023, showing the mason jar and webcam </w:t>
      </w:r>
      <w:r>
        <w:rPr>
          <w:b/>
          <w:bCs/>
        </w:rPr>
        <w:t>among personal items</w:t>
      </w:r>
      <w:hyperlink r:id="rId110">
        <w:r>
          <w:rPr>
            <w:rStyle w:val="Hyperlink"/>
          </w:rPr>
          <w:t>[16]</w:t>
        </w:r>
      </w:hyperlink>
      <w:r>
        <w:rPr/>
        <w:t xml:space="preserve">. </w:t>
      </w:r>
      <w:r>
        <w:rPr>
          <w:i/>
          <w:iCs/>
        </w:rPr>
        <w:t>Violations:</w:t>
      </w:r>
      <w:r>
        <w:rPr/>
        <w:t xml:space="preserve"> Proves </w:t>
      </w:r>
      <w:r>
        <w:rPr>
          <w:b/>
          <w:bCs/>
        </w:rPr>
        <w:t>staged evidence</w:t>
      </w:r>
      <w:r>
        <w:rPr/>
        <w:t xml:space="preserve"> – items were not contraband but ordinary belongings; undermines Emily’s PPO evidence (fraud on court). </w:t>
      </w:r>
      <w:r>
        <w:rPr>
          <w:i/>
          <w:iCs/>
        </w:rPr>
        <w:t>SHA-256:</w:t>
      </w:r>
      <w:r>
        <w:rPr/>
        <w:t xml:space="preserve"> (to be added)</w:t>
      </w:r>
    </w:p>
    <w:p>
      <w:pPr>
        <w:pStyle w:val="Normal"/>
        <w:numPr>
          <w:ilvl w:val="0"/>
          <w:numId w:val="47"/>
        </w:numPr>
        <w:rPr/>
      </w:pPr>
      <w:r>
        <w:rPr>
          <w:b/>
          <w:bCs/>
        </w:rPr>
        <w:t>Exhibit E – Emily Watson’s PPO Petition &amp; Affidavit (11/17/2023):</w:t>
      </w:r>
      <w:r>
        <w:rPr/>
        <w:t xml:space="preserve"> The sworn affidavit Emily submitted to obtain the PPO, detailing claims of poisoning, assault, etc. </w:t>
      </w:r>
      <w:r>
        <w:rPr>
          <w:i/>
          <w:iCs/>
        </w:rPr>
        <w:t>Violations:</w:t>
      </w:r>
      <w:r>
        <w:rPr/>
        <w:t xml:space="preserve"> Contains </w:t>
      </w:r>
      <w:r>
        <w:rPr>
          <w:b/>
          <w:bCs/>
        </w:rPr>
        <w:t>fabricated allegations</w:t>
      </w:r>
      <w:r>
        <w:rPr/>
        <w:t xml:space="preserve"> (see Exhibits C &amp; D for refutation) – constitutes perjury and misuse of PPO statute. </w:t>
      </w:r>
      <w:r>
        <w:rPr>
          <w:i/>
          <w:iCs/>
        </w:rPr>
        <w:t>SHA-256:</w:t>
      </w:r>
      <w:r>
        <w:rPr/>
        <w:t xml:space="preserve"> (to be added)</w:t>
      </w:r>
    </w:p>
    <w:p>
      <w:pPr>
        <w:pStyle w:val="Normal"/>
        <w:numPr>
          <w:ilvl w:val="0"/>
          <w:numId w:val="48"/>
        </w:numPr>
        <w:rPr/>
      </w:pPr>
      <w:r>
        <w:rPr>
          <w:b/>
          <w:bCs/>
        </w:rPr>
        <w:t>Exhibit F – Hearing Transcript (PPO Hearing, ~Jan 2024):</w:t>
      </w:r>
      <w:r>
        <w:rPr/>
        <w:t xml:space="preserve"> Excerpts from the PPO contested hearing. Notably, Judge McNeill </w:t>
      </w:r>
      <w:r>
        <w:rPr>
          <w:b/>
          <w:bCs/>
        </w:rPr>
        <w:t>ignoring Andrew’s evidence</w:t>
      </w:r>
      <w:r>
        <w:rPr/>
        <w:t xml:space="preserve"> and continuing PPO. </w:t>
      </w:r>
      <w:r>
        <w:rPr>
          <w:i/>
          <w:iCs/>
        </w:rPr>
        <w:t>Violations:</w:t>
      </w:r>
      <w:r>
        <w:rPr/>
        <w:t xml:space="preserve"> Denial of due process (judge refused to admit exculpatory evidence)</w:t>
      </w:r>
      <w:hyperlink r:id="rId111">
        <w:r>
          <w:rPr>
            <w:rStyle w:val="Hyperlink"/>
          </w:rPr>
          <w:t>[37]</w:t>
        </w:r>
      </w:hyperlink>
      <w:r>
        <w:rPr/>
        <w:t xml:space="preserve">. </w:t>
      </w:r>
      <w:r>
        <w:rPr>
          <w:i/>
          <w:iCs/>
        </w:rPr>
        <w:t>SHA-256:</w:t>
      </w:r>
      <w:r>
        <w:rPr/>
        <w:t xml:space="preserve"> (to be added; transcript pages)</w:t>
      </w:r>
    </w:p>
    <w:p>
      <w:pPr>
        <w:pStyle w:val="Normal"/>
        <w:numPr>
          <w:ilvl w:val="0"/>
          <w:numId w:val="49"/>
        </w:numPr>
        <w:rPr/>
      </w:pPr>
      <w:r>
        <w:rPr>
          <w:b/>
          <w:bCs/>
        </w:rPr>
        <w:t>Exhibit G – Parenting Time Journal Entries (Nov 2023 – Mar 2024):</w:t>
      </w:r>
      <w:r>
        <w:rPr/>
        <w:t xml:space="preserve"> Andrew’s log of instances where Emily withheld or removed L.D.W. on </w:t>
      </w:r>
      <w:r>
        <w:rPr>
          <w:b/>
          <w:bCs/>
        </w:rPr>
        <w:t>2023-11-12</w:t>
      </w:r>
      <w:r>
        <w:rPr/>
        <w:t xml:space="preserve">, </w:t>
      </w:r>
      <w:r>
        <w:rPr>
          <w:b/>
          <w:bCs/>
        </w:rPr>
        <w:t>2023-12-02</w:t>
      </w:r>
      <w:r>
        <w:rPr/>
        <w:t xml:space="preserve">, </w:t>
      </w:r>
      <w:r>
        <w:rPr>
          <w:b/>
          <w:bCs/>
        </w:rPr>
        <w:t>2024-03-26</w:t>
      </w:r>
      <w:r>
        <w:rPr/>
        <w:t>, etc.</w:t>
      </w:r>
      <w:hyperlink r:id="rId112">
        <w:r>
          <w:rPr>
            <w:rStyle w:val="Hyperlink"/>
          </w:rPr>
          <w:t>[61]</w:t>
        </w:r>
      </w:hyperlink>
      <w:r>
        <w:rPr/>
        <w:t xml:space="preserve">. </w:t>
      </w:r>
      <w:r>
        <w:rPr>
          <w:i/>
          <w:iCs/>
        </w:rPr>
        <w:t>Violations:</w:t>
      </w:r>
      <w:r>
        <w:rPr/>
        <w:t xml:space="preserve"> </w:t>
      </w:r>
      <w:r>
        <w:rPr>
          <w:b/>
          <w:bCs/>
        </w:rPr>
        <w:t>Custody interference</w:t>
      </w:r>
      <w:r>
        <w:rPr/>
        <w:t xml:space="preserve"> by Emily (violates court order and MCL 722.27a obligations). Shows harm to child’s stability. </w:t>
      </w:r>
      <w:r>
        <w:rPr>
          <w:i/>
          <w:iCs/>
        </w:rPr>
        <w:t>SHA-256:</w:t>
      </w:r>
      <w:r>
        <w:rPr/>
        <w:t xml:space="preserve"> (to be added)</w:t>
      </w:r>
    </w:p>
    <w:p>
      <w:pPr>
        <w:pStyle w:val="Normal"/>
        <w:numPr>
          <w:ilvl w:val="0"/>
          <w:numId w:val="50"/>
        </w:numPr>
        <w:rPr/>
      </w:pPr>
      <w:r>
        <w:rPr>
          <w:b/>
          <w:bCs/>
        </w:rPr>
        <w:t>Exhibit H – Financial Disclosure Documents:</w:t>
      </w:r>
      <w:r>
        <w:rPr/>
        <w:t xml:space="preserve"> Compilation of evidence showing Emily’s </w:t>
      </w:r>
      <w:r>
        <w:rPr>
          <w:b/>
          <w:bCs/>
        </w:rPr>
        <w:t>undisclosed income</w:t>
      </w:r>
      <w:r>
        <w:rPr/>
        <w:t>: e.g., bank statements of Cody’s rent payments to Emily, proof of child support from Austin Muratori, and Andrew’s pay stubs showing $95/week insurance cost</w:t>
      </w:r>
      <w:hyperlink r:id="rId113">
        <w:r>
          <w:rPr>
            <w:rStyle w:val="Hyperlink"/>
          </w:rPr>
          <w:t>[38]</w:t>
        </w:r>
      </w:hyperlink>
      <w:r>
        <w:rPr/>
        <w:t xml:space="preserve">. </w:t>
      </w:r>
      <w:r>
        <w:rPr>
          <w:i/>
          <w:iCs/>
        </w:rPr>
        <w:t>Violations:</w:t>
      </w:r>
      <w:r>
        <w:rPr/>
        <w:t xml:space="preserve"> Financial </w:t>
      </w:r>
      <w:r>
        <w:rPr>
          <w:b/>
          <w:bCs/>
        </w:rPr>
        <w:t>misrepresentation</w:t>
      </w:r>
      <w:r>
        <w:rPr/>
        <w:t xml:space="preserve"> in court (violates MCL 552.517, perjury on FOC forms). </w:t>
      </w:r>
      <w:r>
        <w:rPr>
          <w:i/>
          <w:iCs/>
        </w:rPr>
        <w:t>SHA-256:</w:t>
      </w:r>
      <w:r>
        <w:rPr/>
        <w:t xml:space="preserve"> (to be added; possibly multiple files H1, H2, etc.)</w:t>
      </w:r>
    </w:p>
    <w:p>
      <w:pPr>
        <w:pStyle w:val="Normal"/>
        <w:numPr>
          <w:ilvl w:val="0"/>
          <w:numId w:val="51"/>
        </w:numPr>
        <w:rPr/>
      </w:pPr>
      <w:r>
        <w:rPr>
          <w:b/>
          <w:bCs/>
        </w:rPr>
        <w:t>Exhibit I – Muskegon PD Report (No. MU2422249, 11/15/2024):</w:t>
      </w:r>
      <w:r>
        <w:rPr/>
        <w:t xml:space="preserve"> Police report for alleged PPO violation; explicitly states </w:t>
      </w:r>
      <w:r>
        <w:rPr>
          <w:b/>
          <w:bCs/>
        </w:rPr>
        <w:t>“No PPO violation occurred.”</w:t>
      </w:r>
      <w:hyperlink r:id="rId114">
        <w:r>
          <w:rPr>
            <w:rStyle w:val="Hyperlink"/>
          </w:rPr>
          <w:t>[33]</w:t>
        </w:r>
      </w:hyperlink>
      <w:r>
        <w:rPr/>
        <w:t xml:space="preserve">. </w:t>
      </w:r>
      <w:r>
        <w:rPr>
          <w:i/>
          <w:iCs/>
        </w:rPr>
        <w:t>Violations:</w:t>
      </w:r>
      <w:r>
        <w:rPr/>
        <w:t xml:space="preserve"> Demonstrates Emily’s </w:t>
      </w:r>
      <w:r>
        <w:rPr>
          <w:b/>
          <w:bCs/>
        </w:rPr>
        <w:t>false accusation</w:t>
      </w:r>
      <w:r>
        <w:rPr/>
        <w:t xml:space="preserve"> of PPO breach; court’s later action despite this is due process error. </w:t>
      </w:r>
      <w:r>
        <w:rPr>
          <w:i/>
          <w:iCs/>
        </w:rPr>
        <w:t>SHA-256:</w:t>
      </w:r>
      <w:r>
        <w:rPr/>
        <w:t xml:space="preserve"> (to be added)</w:t>
      </w:r>
    </w:p>
    <w:p>
      <w:pPr>
        <w:pStyle w:val="Normal"/>
        <w:numPr>
          <w:ilvl w:val="0"/>
          <w:numId w:val="52"/>
        </w:numPr>
        <w:rPr/>
      </w:pPr>
      <w:r>
        <w:rPr>
          <w:b/>
          <w:bCs/>
        </w:rPr>
        <w:t>Exhibit J – Hearing Transcript (PPO Show Cause, 10/30/2024):</w:t>
      </w:r>
      <w:r>
        <w:rPr/>
        <w:t xml:space="preserve"> Transcript where Judge McNeill says </w:t>
      </w:r>
      <w:r>
        <w:rPr>
          <w:i/>
          <w:iCs/>
        </w:rPr>
        <w:t>“We’re not gonna relitigate…”</w:t>
      </w:r>
      <w:r>
        <w:rPr/>
        <w:t xml:space="preserve"> and dismisses Andrew’s evidence of being harassed by Emily’s father</w:t>
      </w:r>
      <w:hyperlink r:id="rId115">
        <w:r>
          <w:rPr>
            <w:rStyle w:val="Hyperlink"/>
          </w:rPr>
          <w:t>[41]</w:t>
        </w:r>
      </w:hyperlink>
      <w:r>
        <w:rPr/>
        <w:t xml:space="preserve">. </w:t>
      </w:r>
      <w:r>
        <w:rPr>
          <w:i/>
          <w:iCs/>
        </w:rPr>
        <w:t>Violations:</w:t>
      </w:r>
      <w:r>
        <w:rPr/>
        <w:t xml:space="preserve"> Judge’s </w:t>
      </w:r>
      <w:r>
        <w:rPr>
          <w:b/>
          <w:bCs/>
        </w:rPr>
        <w:t>bias and suppression</w:t>
      </w:r>
      <w:r>
        <w:rPr/>
        <w:t xml:space="preserve"> of defense (violates Canon 3 and due process). </w:t>
      </w:r>
      <w:r>
        <w:rPr>
          <w:i/>
          <w:iCs/>
        </w:rPr>
        <w:t>SHA-256:</w:t>
      </w:r>
      <w:r>
        <w:rPr/>
        <w:t xml:space="preserve"> (to be added; transcript)</w:t>
      </w:r>
    </w:p>
    <w:p>
      <w:pPr>
        <w:pStyle w:val="Normal"/>
        <w:numPr>
          <w:ilvl w:val="0"/>
          <w:numId w:val="53"/>
        </w:numPr>
        <w:rPr/>
      </w:pPr>
      <w:r>
        <w:rPr>
          <w:b/>
          <w:bCs/>
        </w:rPr>
        <w:t>Exhibit K – Email Chain with Mandi Martini (Feb 28, 2025):</w:t>
      </w:r>
      <w:r>
        <w:rPr/>
        <w:t xml:space="preserve"> Emails between Andrew and his PD. Mandi writes </w:t>
      </w:r>
      <w:r>
        <w:rPr>
          <w:i/>
          <w:iCs/>
        </w:rPr>
        <w:t>“All prosecutor is asking for is a lecture… nothing substantive in the motion”</w:t>
      </w:r>
      <w:r>
        <w:rPr/>
        <w:t xml:space="preserve"> and Andrew replies noting Emily’s retaliation and </w:t>
      </w:r>
      <w:r>
        <w:rPr>
          <w:b/>
          <w:bCs/>
        </w:rPr>
        <w:t>that she lied about income in support calc</w:t>
      </w:r>
      <w:r>
        <w:rPr/>
        <w:t xml:space="preserve">. </w:t>
      </w:r>
      <w:r>
        <w:rPr>
          <w:i/>
          <w:iCs/>
        </w:rPr>
        <w:t>Violations:</w:t>
      </w:r>
      <w:r>
        <w:rPr/>
        <w:t xml:space="preserve"> Confirms </w:t>
      </w:r>
      <w:r>
        <w:rPr>
          <w:b/>
          <w:bCs/>
        </w:rPr>
        <w:t>retaliatory intent</w:t>
      </w:r>
      <w:r>
        <w:rPr/>
        <w:t xml:space="preserve"> by Emily and </w:t>
      </w:r>
      <w:r>
        <w:rPr>
          <w:b/>
          <w:bCs/>
        </w:rPr>
        <w:t>financial fraud</w:t>
      </w:r>
      <w:r>
        <w:rPr/>
        <w:t xml:space="preserve"> (hidden income). Also implies prosecution saw Emily’s PPO misuse. </w:t>
      </w:r>
      <w:r>
        <w:rPr>
          <w:i/>
          <w:iCs/>
        </w:rPr>
        <w:t>SHA-256:</w:t>
      </w:r>
      <w:r>
        <w:rPr/>
        <w:t xml:space="preserve"> (to be added; .eml or PDF of emails)</w:t>
      </w:r>
    </w:p>
    <w:p>
      <w:pPr>
        <w:pStyle w:val="Normal"/>
        <w:numPr>
          <w:ilvl w:val="0"/>
          <w:numId w:val="54"/>
        </w:numPr>
        <w:rPr/>
      </w:pPr>
      <w:r>
        <w:rPr>
          <w:b/>
          <w:bCs/>
        </w:rPr>
        <w:t>Exhibit L – Motion to Disqualify Judge McNeill (filed 2025-03-04):</w:t>
      </w:r>
      <w:r>
        <w:rPr/>
        <w:t xml:space="preserve"> Andrew’s formal motion detailing bias (with exhibits A, B, C referenced)</w:t>
      </w:r>
      <w:hyperlink r:id="rId116">
        <w:r>
          <w:rPr>
            <w:rStyle w:val="Hyperlink"/>
          </w:rPr>
          <w:t>[40]</w:t>
        </w:r>
      </w:hyperlink>
      <w:hyperlink r:id="rId117">
        <w:r>
          <w:rPr>
            <w:rStyle w:val="Hyperlink"/>
          </w:rPr>
          <w:t>[69]</w:t>
        </w:r>
      </w:hyperlink>
      <w:r>
        <w:rPr/>
        <w:t xml:space="preserve">. </w:t>
      </w:r>
      <w:r>
        <w:rPr>
          <w:i/>
          <w:iCs/>
        </w:rPr>
        <w:t>Violations:</w:t>
      </w:r>
      <w:r>
        <w:rPr/>
        <w:t xml:space="preserve"> Lists </w:t>
      </w:r>
      <w:r>
        <w:rPr>
          <w:b/>
          <w:bCs/>
        </w:rPr>
        <w:t>judicial misconduct</w:t>
      </w:r>
      <w:r>
        <w:rPr/>
        <w:t xml:space="preserve"> instances (Canon 2A, 3A(4), MCR 2.003 violations). This is evidence that issues were preserved. </w:t>
      </w:r>
      <w:r>
        <w:rPr>
          <w:i/>
          <w:iCs/>
        </w:rPr>
        <w:t>SHA-256:</w:t>
      </w:r>
      <w:r>
        <w:rPr/>
        <w:t xml:space="preserve"> (to be added; the DOCX/PDF of motion)</w:t>
      </w:r>
    </w:p>
    <w:p>
      <w:pPr>
        <w:pStyle w:val="Normal"/>
        <w:numPr>
          <w:ilvl w:val="0"/>
          <w:numId w:val="55"/>
        </w:numPr>
        <w:rPr/>
      </w:pPr>
      <w:r>
        <w:rPr>
          <w:b/>
          <w:bCs/>
        </w:rPr>
        <w:t>Exhibit M – Court Order Imposing Filing Bond (05/16/2025):</w:t>
      </w:r>
      <w:r>
        <w:rPr/>
        <w:t xml:space="preserve"> Copy of or reference to Judge McNeill’s order or directive requiring a $250 bond for new filings. Possibly reflected in hearing transcript or clerk entry. </w:t>
      </w:r>
      <w:r>
        <w:rPr>
          <w:i/>
          <w:iCs/>
        </w:rPr>
        <w:t>Violations:</w:t>
      </w:r>
      <w:r>
        <w:rPr/>
        <w:t xml:space="preserve"> </w:t>
      </w:r>
      <w:r>
        <w:rPr>
          <w:b/>
          <w:bCs/>
        </w:rPr>
        <w:t>Access to courts restriction</w:t>
      </w:r>
      <w:r>
        <w:rPr/>
        <w:t xml:space="preserve"> without due process; not supported by court rules (violates First Amendment right to petition; no vexatious litigant order entered). </w:t>
      </w:r>
      <w:r>
        <w:rPr>
          <w:i/>
          <w:iCs/>
        </w:rPr>
        <w:t>SHA-256:</w:t>
      </w:r>
      <w:r>
        <w:rPr/>
        <w:t xml:space="preserve"> (to be added; minute order or transcript excerpt)</w:t>
      </w:r>
    </w:p>
    <w:p>
      <w:pPr>
        <w:pStyle w:val="Normal"/>
        <w:numPr>
          <w:ilvl w:val="0"/>
          <w:numId w:val="56"/>
        </w:numPr>
        <w:rPr/>
      </w:pPr>
      <w:r>
        <w:rPr>
          <w:b/>
          <w:bCs/>
        </w:rPr>
        <w:t>Exhibit N – Email from Andrew to Pamela Rusco (09/15/2025):</w:t>
      </w:r>
      <w:r>
        <w:rPr/>
        <w:t xml:space="preserve"> Andrew’s email to FOC stating </w:t>
      </w:r>
      <w:r>
        <w:rPr>
          <w:i/>
          <w:iCs/>
        </w:rPr>
        <w:t>“I have not seen my son since July 29th 2025. Today marks 48 days.”</w:t>
      </w:r>
      <w:r>
        <w:fldChar w:fldCharType="begin"/>
      </w:r>
      <w:r>
        <w:rPr>
          <w:rStyle w:val="Hyperlink"/>
        </w:rPr>
        <w:instrText xml:space="preserve"> HYPERLINK "https://mail.google.com/mail/u/0/" \l "all/1994e5c10775b3db"</w:instrText>
      </w:r>
      <w:r>
        <w:rPr>
          <w:rStyle w:val="Hyperlink"/>
        </w:rPr>
        <w:fldChar w:fldCharType="separate"/>
      </w:r>
      <w:r>
        <w:rPr>
          <w:rStyle w:val="Hyperlink"/>
        </w:rPr>
        <w:t>[7]</w:t>
      </w:r>
      <w:r>
        <w:rPr>
          <w:rStyle w:val="Hyperlink"/>
        </w:rPr>
        <w:fldChar w:fldCharType="end"/>
      </w:r>
      <w:r>
        <w:rPr/>
        <w:t xml:space="preserve">. </w:t>
      </w:r>
      <w:r>
        <w:rPr>
          <w:i/>
          <w:iCs/>
        </w:rPr>
        <w:t>Violations:</w:t>
      </w:r>
      <w:r>
        <w:rPr/>
        <w:t xml:space="preserve"> Evidence of </w:t>
      </w:r>
      <w:r>
        <w:rPr>
          <w:b/>
          <w:bCs/>
        </w:rPr>
        <w:t>extended parenting time denial</w:t>
      </w:r>
      <w:r>
        <w:rPr/>
        <w:t xml:space="preserve">. Highlights harm and potential violation of MCL 722.27a (failure to allow parenting time). </w:t>
      </w:r>
      <w:r>
        <w:rPr>
          <w:i/>
          <w:iCs/>
        </w:rPr>
        <w:t>SHA-256:</w:t>
      </w:r>
      <w:r>
        <w:rPr/>
        <w:t xml:space="preserve"> </w:t>
      </w:r>
      <w:r>
        <w:rPr>
          <w:rStyle w:val="VerbatimChar"/>
        </w:rPr>
        <w:t>d78c110784c8f2f875485d6479535f16c500f4edeb5306421f94f9bb06a21dd2</w:t>
      </w:r>
      <w:r>
        <w:rPr/>
        <w:t xml:space="preserve"> (hash of email text content shown as example).</w:t>
      </w:r>
    </w:p>
    <w:p>
      <w:pPr>
        <w:pStyle w:val="Normal"/>
        <w:numPr>
          <w:ilvl w:val="0"/>
          <w:numId w:val="57"/>
        </w:numPr>
        <w:rPr/>
      </w:pPr>
      <w:r>
        <w:rPr>
          <w:b/>
          <w:bCs/>
        </w:rPr>
        <w:t>Exhibit O – Emergency Ex Parte Motion by Emily (08/08/2025):</w:t>
      </w:r>
      <w:r>
        <w:rPr/>
        <w:t xml:space="preserve"> The motion Emily filed claiming immediate harm, supported by family recordings and hearsay. </w:t>
      </w:r>
      <w:r>
        <w:rPr>
          <w:i/>
          <w:iCs/>
        </w:rPr>
        <w:t>Violations:</w:t>
      </w:r>
      <w:r>
        <w:rPr/>
        <w:t xml:space="preserve"> Contains </w:t>
      </w:r>
      <w:r>
        <w:rPr>
          <w:b/>
          <w:bCs/>
        </w:rPr>
        <w:t>unauthenticated evidence and hearsay</w:t>
      </w:r>
      <w:r>
        <w:rPr/>
        <w:t xml:space="preserve"> (violates MRE 901, 802), likely omits mention of lack of actual harm (misleading the court). Led to ex parte order without proper grounds (MCR 3.207). </w:t>
      </w:r>
      <w:r>
        <w:rPr>
          <w:i/>
          <w:iCs/>
        </w:rPr>
        <w:t>SHA-256:</w:t>
      </w:r>
      <w:r>
        <w:rPr/>
        <w:t xml:space="preserve"> (to be added; PDF of motion)</w:t>
      </w:r>
    </w:p>
    <w:p>
      <w:pPr>
        <w:pStyle w:val="Normal"/>
        <w:numPr>
          <w:ilvl w:val="0"/>
          <w:numId w:val="58"/>
        </w:numPr>
        <w:rPr/>
      </w:pPr>
      <w:r>
        <w:rPr>
          <w:b/>
          <w:bCs/>
        </w:rPr>
        <w:t>Exhibit P – Ex Parte Custody Suspension Order (08/08/2025):</w:t>
      </w:r>
      <w:r>
        <w:rPr/>
        <w:t xml:space="preserve"> Judge McNeill’s signed order suspending Andrew’s parenting time effective Aug 8. States no specific injury facts but grants relief</w:t>
      </w:r>
      <w:hyperlink r:id="rId118">
        <w:r>
          <w:rPr>
            <w:rStyle w:val="Hyperlink"/>
          </w:rPr>
          <w:t>[34]</w:t>
        </w:r>
      </w:hyperlink>
      <w:r>
        <w:rPr/>
        <w:t xml:space="preserve">. </w:t>
      </w:r>
      <w:r>
        <w:rPr>
          <w:i/>
          <w:iCs/>
        </w:rPr>
        <w:t>Violations:</w:t>
      </w:r>
      <w:r>
        <w:rPr/>
        <w:t xml:space="preserve"> Violates </w:t>
      </w:r>
      <w:r>
        <w:rPr>
          <w:b/>
          <w:bCs/>
        </w:rPr>
        <w:t>MCR 3.207(B)(1)</w:t>
      </w:r>
      <w:r>
        <w:rPr/>
        <w:t xml:space="preserve"> and </w:t>
      </w:r>
      <w:r>
        <w:rPr>
          <w:b/>
          <w:bCs/>
        </w:rPr>
        <w:t>MCL 722.27a</w:t>
      </w:r>
      <w:r>
        <w:rPr/>
        <w:t xml:space="preserve"> – no finding of endangerment. Also issued without hearing (due process violation). </w:t>
      </w:r>
      <w:r>
        <w:rPr>
          <w:i/>
          <w:iCs/>
        </w:rPr>
        <w:t>SHA-256:</w:t>
      </w:r>
      <w:r>
        <w:rPr/>
        <w:t xml:space="preserve"> (to be added; order PDF)</w:t>
      </w:r>
    </w:p>
    <w:p>
      <w:pPr>
        <w:pStyle w:val="Normal"/>
        <w:numPr>
          <w:ilvl w:val="0"/>
          <w:numId w:val="59"/>
        </w:numPr>
        <w:rPr/>
      </w:pPr>
      <w:r>
        <w:rPr>
          <w:b/>
          <w:bCs/>
        </w:rPr>
        <w:t>Exhibit Q – HealthWest Psychological Evaluation Report (09/12/2025):</w:t>
      </w:r>
      <w:r>
        <w:rPr/>
        <w:t xml:space="preserve"> Professional evaluation of Andrew completed in Sept 2025, concluding he is </w:t>
      </w:r>
      <w:r>
        <w:rPr>
          <w:b/>
          <w:bCs/>
        </w:rPr>
        <w:t>mentally stable and not a risk</w:t>
      </w:r>
      <w:r>
        <w:rPr/>
        <w:t xml:space="preserve"> (implied from context)</w:t>
      </w:r>
      <w:hyperlink r:id="rId119">
        <w:r>
          <w:rPr>
            <w:rStyle w:val="Hyperlink"/>
          </w:rPr>
          <w:t>[32]</w:t>
        </w:r>
      </w:hyperlink>
      <w:r>
        <w:rPr/>
        <w:t xml:space="preserve">. </w:t>
      </w:r>
      <w:r>
        <w:rPr>
          <w:i/>
          <w:iCs/>
        </w:rPr>
        <w:t>Violations:</w:t>
      </w:r>
      <w:r>
        <w:rPr/>
        <w:t xml:space="preserve"> Court’s ignoring of this report violates </w:t>
      </w:r>
      <w:r>
        <w:rPr>
          <w:b/>
          <w:bCs/>
        </w:rPr>
        <w:t>MCL 722.27(1)(c)</w:t>
      </w:r>
      <w:r>
        <w:rPr/>
        <w:t xml:space="preserve"> (must consider all relevant factors in custody). Also ties to Canon 3 (judge should not ignore evidence out of personal bias). </w:t>
      </w:r>
      <w:r>
        <w:rPr>
          <w:i/>
          <w:iCs/>
        </w:rPr>
        <w:t>SHA-256:</w:t>
      </w:r>
      <w:r>
        <w:rPr/>
        <w:t xml:space="preserve"> (to be added; redacted eval PDF)</w:t>
      </w:r>
    </w:p>
    <w:p>
      <w:pPr>
        <w:pStyle w:val="Normal"/>
        <w:numPr>
          <w:ilvl w:val="0"/>
          <w:numId w:val="60"/>
        </w:numPr>
        <w:rPr/>
      </w:pPr>
      <w:r>
        <w:rPr>
          <w:b/>
          <w:bCs/>
        </w:rPr>
        <w:t>Exhibit R – Order After Hearing (09/04/2025):</w:t>
      </w:r>
      <w:r>
        <w:rPr/>
        <w:t xml:space="preserve"> Judge McNeill’s order following the Sept 4 hearing, continuing custody suspension. It </w:t>
      </w:r>
      <w:r>
        <w:rPr>
          <w:b/>
          <w:bCs/>
        </w:rPr>
        <w:t>disregards the HealthWest assessment</w:t>
      </w:r>
      <w:r>
        <w:rPr/>
        <w:t xml:space="preserve"> and possibly misstates evidence. </w:t>
      </w:r>
      <w:r>
        <w:rPr>
          <w:i/>
          <w:iCs/>
        </w:rPr>
        <w:t>Violations:</w:t>
      </w:r>
      <w:r>
        <w:rPr/>
        <w:t xml:space="preserve"> </w:t>
      </w:r>
      <w:r>
        <w:rPr>
          <w:b/>
          <w:bCs/>
        </w:rPr>
        <w:t>Lack of findings</w:t>
      </w:r>
      <w:r>
        <w:rPr/>
        <w:t xml:space="preserve"> on best-interest factors; shows prejudgment (bias). Possibly violates MCR 2.517 (requirement to make findings in bench trials). </w:t>
      </w:r>
      <w:r>
        <w:rPr>
          <w:i/>
          <w:iCs/>
        </w:rPr>
        <w:t>SHA-256:</w:t>
      </w:r>
      <w:r>
        <w:rPr/>
        <w:t xml:space="preserve"> (to be added)</w:t>
      </w:r>
    </w:p>
    <w:p>
      <w:pPr>
        <w:pStyle w:val="Normal"/>
        <w:numPr>
          <w:ilvl w:val="0"/>
          <w:numId w:val="61"/>
        </w:numPr>
        <w:rPr/>
      </w:pPr>
      <w:r>
        <w:rPr>
          <w:b/>
          <w:bCs/>
        </w:rPr>
        <w:t>Exhibit S – USB Audio Recordings Submitted by Emily:</w:t>
      </w:r>
      <w:r>
        <w:rPr/>
        <w:t xml:space="preserve"> The set of audio files (or the USB itself) that Emily provided ex parte, allegedly containing calls involving Andrew. Judge admitted them after staff’s private review</w:t>
      </w:r>
      <w:hyperlink r:id="rId120">
        <w:r>
          <w:rPr>
            <w:rStyle w:val="Hyperlink"/>
          </w:rPr>
          <w:t>[28]</w:t>
        </w:r>
      </w:hyperlink>
      <w:r>
        <w:rPr/>
        <w:t xml:space="preserve">. </w:t>
      </w:r>
      <w:r>
        <w:rPr>
          <w:i/>
          <w:iCs/>
        </w:rPr>
        <w:t>Violations:</w:t>
      </w:r>
      <w:r>
        <w:rPr/>
        <w:t xml:space="preserve"> </w:t>
      </w:r>
      <w:r>
        <w:rPr>
          <w:b/>
          <w:bCs/>
        </w:rPr>
        <w:t>Ex parte evidence consideration</w:t>
      </w:r>
      <w:r>
        <w:rPr/>
        <w:t xml:space="preserve"> (Canon 3(A)(4) violation), no foundation laid (violates MRE 901). Demonstrates judicial misconduct in handling evidence. </w:t>
      </w:r>
      <w:r>
        <w:rPr>
          <w:i/>
          <w:iCs/>
        </w:rPr>
        <w:t>SHA-256:</w:t>
      </w:r>
      <w:r>
        <w:rPr/>
        <w:t xml:space="preserve"> (to be added; if audio files are preserved, each can have hash)</w:t>
      </w:r>
    </w:p>
    <w:p>
      <w:pPr>
        <w:pStyle w:val="Normal"/>
        <w:numPr>
          <w:ilvl w:val="0"/>
          <w:numId w:val="62"/>
        </w:numPr>
        <w:rPr/>
      </w:pPr>
      <w:r>
        <w:rPr>
          <w:b/>
          <w:bCs/>
        </w:rPr>
        <w:t>Exhibit T – Video by Lori Watson (the “Watson Recording”):</w:t>
      </w:r>
      <w:r>
        <w:rPr/>
        <w:t xml:space="preserve"> A cellphone video wherein Lori filmed Albert on a call, claimed to be with Andrew, presented as evidence of harassment</w:t>
      </w:r>
      <w:hyperlink r:id="rId121">
        <w:r>
          <w:rPr>
            <w:rStyle w:val="Hyperlink"/>
          </w:rPr>
          <w:t>[9]</w:t>
        </w:r>
      </w:hyperlink>
      <w:r>
        <w:rPr/>
        <w:t xml:space="preserve">. </w:t>
      </w:r>
      <w:r>
        <w:rPr>
          <w:i/>
          <w:iCs/>
        </w:rPr>
        <w:t>Violations:</w:t>
      </w:r>
      <w:r>
        <w:rPr/>
        <w:t xml:space="preserve"> </w:t>
      </w:r>
      <w:r>
        <w:rPr>
          <w:b/>
          <w:bCs/>
        </w:rPr>
        <w:t>Hearsay and lack of authentication</w:t>
      </w:r>
      <w:r>
        <w:rPr/>
        <w:t xml:space="preserve"> – admitted despite no verification of voices or context (violates MRE 901, 802). Used to influence court improperly. </w:t>
      </w:r>
      <w:r>
        <w:rPr>
          <w:i/>
          <w:iCs/>
        </w:rPr>
        <w:t>SHA-256:</w:t>
      </w:r>
      <w:r>
        <w:rPr/>
        <w:t xml:space="preserve"> (to be added; video file)</w:t>
      </w:r>
    </w:p>
    <w:p>
      <w:pPr>
        <w:pStyle w:val="Normal"/>
        <w:numPr>
          <w:ilvl w:val="0"/>
          <w:numId w:val="63"/>
        </w:numPr>
        <w:rPr/>
      </w:pPr>
      <w:r>
        <w:rPr>
          <w:b/>
          <w:bCs/>
        </w:rPr>
        <w:t>Exhibit U – Affidavit or Statement re: Improper PPO Service:</w:t>
      </w:r>
      <w:r>
        <w:rPr/>
        <w:t xml:space="preserve"> A written statement by Andrew describing how </w:t>
      </w:r>
      <w:r>
        <w:rPr>
          <w:b/>
          <w:bCs/>
        </w:rPr>
        <w:t>Albert Watson served the PPO papers and threatened him</w:t>
      </w:r>
      <w:r>
        <w:rPr/>
        <w:t xml:space="preserve"> at that time</w:t>
      </w:r>
      <w:hyperlink r:id="rId122">
        <w:r>
          <w:rPr>
            <w:rStyle w:val="Hyperlink"/>
          </w:rPr>
          <w:t>[8]</w:t>
        </w:r>
      </w:hyperlink>
      <w:r>
        <w:rPr/>
        <w:t xml:space="preserve">. Could be backed by a text or voicemail from Albert. </w:t>
      </w:r>
      <w:r>
        <w:rPr>
          <w:i/>
          <w:iCs/>
        </w:rPr>
        <w:t>Violations:</w:t>
      </w:r>
      <w:r>
        <w:rPr/>
        <w:t xml:space="preserve"> Improper service (not a neutral party), intimidation – shows </w:t>
      </w:r>
      <w:r>
        <w:rPr>
          <w:b/>
          <w:bCs/>
        </w:rPr>
        <w:t>abuse of process</w:t>
      </w:r>
      <w:r>
        <w:rPr/>
        <w:t xml:space="preserve"> by petitioner’s side. </w:t>
      </w:r>
      <w:r>
        <w:rPr>
          <w:i/>
          <w:iCs/>
        </w:rPr>
        <w:t>SHA-256:</w:t>
      </w:r>
      <w:r>
        <w:rPr/>
        <w:t xml:space="preserve"> (to be added)</w:t>
      </w:r>
    </w:p>
    <w:p>
      <w:pPr>
        <w:pStyle w:val="Normal"/>
        <w:numPr>
          <w:ilvl w:val="0"/>
          <w:numId w:val="64"/>
        </w:numPr>
        <w:rPr/>
      </w:pPr>
      <w:r>
        <w:rPr>
          <w:b/>
          <w:bCs/>
        </w:rPr>
        <w:t>Exhibit V – AppClose Communication Logs:</w:t>
      </w:r>
      <w:r>
        <w:rPr/>
        <w:t xml:space="preserve"> Exports from the AppClose co-parenting app showing </w:t>
      </w:r>
      <w:r>
        <w:rPr>
          <w:b/>
          <w:bCs/>
        </w:rPr>
        <w:t>Emily’s refusal to co-parent</w:t>
      </w:r>
      <w:r>
        <w:rPr/>
        <w:t>: e.g., messages where she failed to inform Andrew of medical appointments, blocked communication, or omitted sharing location</w:t>
      </w:r>
      <w:hyperlink r:id="rId123">
        <w:r>
          <w:rPr>
            <w:rStyle w:val="Hyperlink"/>
          </w:rPr>
          <w:t>[24]</w:t>
        </w:r>
      </w:hyperlink>
      <w:hyperlink r:id="rId124">
        <w:r>
          <w:rPr>
            <w:rStyle w:val="Hyperlink"/>
          </w:rPr>
          <w:t>[70]</w:t>
        </w:r>
      </w:hyperlink>
      <w:r>
        <w:rPr/>
        <w:t xml:space="preserve">. </w:t>
      </w:r>
      <w:r>
        <w:rPr>
          <w:i/>
          <w:iCs/>
        </w:rPr>
        <w:t>Violations:</w:t>
      </w:r>
      <w:r>
        <w:rPr/>
        <w:t xml:space="preserve"> Violates </w:t>
      </w:r>
      <w:r>
        <w:rPr>
          <w:b/>
          <w:bCs/>
        </w:rPr>
        <w:t>MCL 722.27(1)(e)</w:t>
      </w:r>
      <w:r>
        <w:rPr/>
        <w:t xml:space="preserve"> (which orders parents to communicate on important matters). Evidence of </w:t>
      </w:r>
      <w:r>
        <w:rPr>
          <w:b/>
          <w:bCs/>
        </w:rPr>
        <w:t>parental alienation</w:t>
      </w:r>
      <w:r>
        <w:rPr/>
        <w:t xml:space="preserve">. </w:t>
      </w:r>
      <w:r>
        <w:rPr>
          <w:i/>
          <w:iCs/>
        </w:rPr>
        <w:t>SHA-256:</w:t>
      </w:r>
      <w:r>
        <w:rPr/>
        <w:t xml:space="preserve"> (to be added; PDF of chat logs)</w:t>
      </w:r>
    </w:p>
    <w:p>
      <w:pPr>
        <w:pStyle w:val="Normal"/>
        <w:numPr>
          <w:ilvl w:val="0"/>
          <w:numId w:val="65"/>
        </w:numPr>
        <w:rPr/>
      </w:pPr>
      <w:r>
        <w:rPr>
          <w:b/>
          <w:bCs/>
        </w:rPr>
        <w:t>Exhibit W – AppClose Journal of Child’s Transitions:</w:t>
      </w:r>
      <w:r>
        <w:rPr/>
        <w:t xml:space="preserve"> Logs or notes (possibly with GPS check-ins) showing </w:t>
      </w:r>
      <w:r>
        <w:rPr>
          <w:b/>
          <w:bCs/>
        </w:rPr>
        <w:t>Lincoln’s emotional reactions</w:t>
      </w:r>
      <w:r>
        <w:rPr/>
        <w:t xml:space="preserve"> (crying, clinging) during transitions, especially when being taken from Andrew’s care</w:t>
      </w:r>
      <w:hyperlink r:id="rId125">
        <w:r>
          <w:rPr>
            <w:rStyle w:val="Hyperlink"/>
          </w:rPr>
          <w:t>[65]</w:t>
        </w:r>
      </w:hyperlink>
      <w:r>
        <w:rPr/>
        <w:t xml:space="preserve">. Possibly includes a video of a handoff or a diary entry by Andrew. </w:t>
      </w:r>
      <w:r>
        <w:rPr>
          <w:i/>
          <w:iCs/>
        </w:rPr>
        <w:t>Violations:</w:t>
      </w:r>
      <w:r>
        <w:rPr/>
        <w:t xml:space="preserve"> Highlights </w:t>
      </w:r>
      <w:r>
        <w:rPr>
          <w:b/>
          <w:bCs/>
        </w:rPr>
        <w:t>emotional abuse</w:t>
      </w:r>
      <w:r>
        <w:rPr/>
        <w:t xml:space="preserve"> via alienation – not a legal violation per se, but relevant to best-interest factor (a) and (j). Supports claim of harm due to Emily’s actions. </w:t>
      </w:r>
      <w:r>
        <w:rPr>
          <w:i/>
          <w:iCs/>
        </w:rPr>
        <w:t>SHA-256:</w:t>
      </w:r>
      <w:r>
        <w:rPr/>
        <w:t xml:space="preserve"> (to be added)</w:t>
      </w:r>
    </w:p>
    <w:p>
      <w:pPr>
        <w:pStyle w:val="Normal"/>
        <w:numPr>
          <w:ilvl w:val="0"/>
          <w:numId w:val="66"/>
        </w:numPr>
        <w:rPr/>
      </w:pPr>
      <w:r>
        <w:rPr>
          <w:b/>
          <w:bCs/>
        </w:rPr>
        <w:t>Exhibit X – Court Order Reducing Parenting Time (Date TBD 2024):</w:t>
      </w:r>
      <w:r>
        <w:rPr/>
        <w:t xml:space="preserve"> The order that cut down Andrew’s parenting time from 182 to 78 days/year</w:t>
      </w:r>
      <w:hyperlink r:id="rId126">
        <w:r>
          <w:rPr>
            <w:rStyle w:val="Hyperlink"/>
          </w:rPr>
          <w:t>[12]</w:t>
        </w:r>
      </w:hyperlink>
      <w:r>
        <w:rPr/>
        <w:t xml:space="preserve"> (likely early 2024). </w:t>
      </w:r>
      <w:r>
        <w:rPr>
          <w:i/>
          <w:iCs/>
        </w:rPr>
        <w:t>Violations:</w:t>
      </w:r>
      <w:r>
        <w:rPr/>
        <w:t xml:space="preserve"> Issued without proper evidentiary hearing or findings on best interests – violates </w:t>
      </w:r>
      <w:r>
        <w:rPr>
          <w:b/>
          <w:bCs/>
        </w:rPr>
        <w:t>MCL 722.27 &amp; 722.23</w:t>
      </w:r>
      <w:r>
        <w:rPr/>
        <w:t xml:space="preserve"> (if no explicit factor analysis). </w:t>
      </w:r>
      <w:r>
        <w:rPr>
          <w:i/>
          <w:iCs/>
        </w:rPr>
        <w:t>SHA-256:</w:t>
      </w:r>
      <w:r>
        <w:rPr/>
        <w:t xml:space="preserve"> (to be added; order scan)</w:t>
      </w:r>
    </w:p>
    <w:p>
      <w:pPr>
        <w:pStyle w:val="Normal"/>
        <w:numPr>
          <w:ilvl w:val="0"/>
          <w:numId w:val="67"/>
        </w:numPr>
        <w:rPr/>
      </w:pPr>
      <w:r>
        <w:rPr>
          <w:b/>
          <w:bCs/>
        </w:rPr>
        <w:t>Exhibit Y – Police Report &amp; Photo: Cody Watson’s Nitro Crash (2023):</w:t>
      </w:r>
      <w:r>
        <w:rPr/>
        <w:t xml:space="preserve"> Evidence of the </w:t>
      </w:r>
      <w:r>
        <w:rPr>
          <w:b/>
          <w:bCs/>
        </w:rPr>
        <w:t>car accident caused by Cody Watson’s inhalant use</w:t>
      </w:r>
      <w:hyperlink r:id="rId127">
        <w:r>
          <w:rPr>
            <w:rStyle w:val="Hyperlink"/>
          </w:rPr>
          <w:t>[10]</w:t>
        </w:r>
      </w:hyperlink>
      <w:r>
        <w:rPr/>
        <w:t xml:space="preserve">. Includes police report and possibly a still from traffic cam or aftermath photo. </w:t>
      </w:r>
      <w:r>
        <w:rPr>
          <w:i/>
          <w:iCs/>
        </w:rPr>
        <w:t>Violations:</w:t>
      </w:r>
      <w:r>
        <w:rPr/>
        <w:t xml:space="preserve"> Demonstrates </w:t>
      </w:r>
      <w:r>
        <w:rPr>
          <w:b/>
          <w:bCs/>
        </w:rPr>
        <w:t>unsafe environment</w:t>
      </w:r>
      <w:r>
        <w:rPr/>
        <w:t xml:space="preserve"> for child (Emily’s household), contradicting her claims of providing a better home. Relevant to best-interest factor (d) and (f). </w:t>
      </w:r>
      <w:r>
        <w:rPr>
          <w:i/>
          <w:iCs/>
        </w:rPr>
        <w:t>SHA-256:</w:t>
      </w:r>
      <w:r>
        <w:rPr/>
        <w:t xml:space="preserve"> (to be added)</w:t>
      </w:r>
    </w:p>
    <w:p>
      <w:pPr>
        <w:pStyle w:val="Normal"/>
        <w:numPr>
          <w:ilvl w:val="0"/>
          <w:numId w:val="68"/>
        </w:numPr>
        <w:rPr/>
      </w:pPr>
      <w:r>
        <w:rPr>
          <w:b/>
          <w:bCs/>
        </w:rPr>
        <w:t>Exhibit Z – Text Messages: Threats from Cody to Andrew:</w:t>
      </w:r>
      <w:r>
        <w:rPr/>
        <w:t xml:space="preserve"> Screenshots of texts (or call logs) where </w:t>
      </w:r>
      <w:r>
        <w:rPr>
          <w:b/>
          <w:bCs/>
        </w:rPr>
        <w:t>Cody Watson threatened Andrew</w:t>
      </w:r>
      <w:r>
        <w:rPr/>
        <w:t xml:space="preserve"> via text/phone</w:t>
      </w:r>
      <w:hyperlink r:id="rId128">
        <w:r>
          <w:rPr>
            <w:rStyle w:val="Hyperlink"/>
          </w:rPr>
          <w:t>[71]</w:t>
        </w:r>
      </w:hyperlink>
      <w:r>
        <w:rPr/>
        <w:t xml:space="preserve">. </w:t>
      </w:r>
      <w:r>
        <w:rPr>
          <w:i/>
          <w:iCs/>
        </w:rPr>
        <w:t>Violations:</w:t>
      </w:r>
      <w:r>
        <w:rPr/>
        <w:t xml:space="preserve"> Evidence of third-party harassment and attempt to provoke PPO violations; shows Emily’s family’s role in conflict (not directly a legal violation unless considered stalking). Bolsters Andrew’s claim that PPO was weaponized, not needed for legitimate safety. </w:t>
      </w:r>
      <w:r>
        <w:rPr>
          <w:i/>
          <w:iCs/>
        </w:rPr>
        <w:t>SHA-256:</w:t>
      </w:r>
      <w:r>
        <w:rPr/>
        <w:t xml:space="preserve"> (to be added)</w:t>
      </w:r>
    </w:p>
    <w:p>
      <w:pPr>
        <w:pStyle w:val="FirstParagraph"/>
        <w:rPr/>
      </w:pPr>
      <w:r>
        <w:rPr>
          <w:i/>
          <w:iCs/>
        </w:rPr>
        <w:t>(Each digital exhibit will be stored with a unique filename and its SHA-256 hash recorded as above. If additional exhibits are introduced beyond “Z”, a secondary labeling will begin (e.g.,</w:t>
      </w:r>
      <w:r>
        <w:rPr/>
        <w:t xml:space="preserve"> </w:t>
      </w:r>
      <w:r>
        <w:rPr>
          <w:i/>
          <w:iCs/>
        </w:rPr>
        <w:t>H-1, H-2</w:t>
      </w:r>
      <w:r>
        <w:rPr/>
        <w:t xml:space="preserve"> </w:t>
      </w:r>
      <w:r>
        <w:rPr>
          <w:i/>
          <w:iCs/>
        </w:rPr>
        <w:t>for Housing-related exhibits,</w:t>
      </w:r>
      <w:r>
        <w:rPr/>
        <w:t xml:space="preserve"> </w:t>
      </w:r>
      <w:r>
        <w:rPr>
          <w:i/>
          <w:iCs/>
        </w:rPr>
        <w:t>M-1, M-2</w:t>
      </w:r>
      <w:r>
        <w:rPr/>
        <w:t xml:space="preserve"> </w:t>
      </w:r>
      <w:r>
        <w:rPr>
          <w:i/>
          <w:iCs/>
        </w:rPr>
        <w:t>for Misconduct exhibits, etc., to group thematically). The index will be maintained in a CSV and .docx for easy reference, with columns for Exhibit ID, Description, Date, Source, Rule Violated, and SHA-256 hash.)</w:t>
      </w:r>
      <w:bookmarkEnd w:id="13"/>
    </w:p>
    <w:p>
      <w:pPr>
        <w:pStyle w:val="Heading2"/>
        <w:rPr/>
      </w:pPr>
      <w:bookmarkStart w:id="14" w:name="Xfa7113932cefddf9e3ad4827dfdccc0915491a9"/>
      <w:r>
        <w:rPr/>
        <w:t>Subsets for Filing and Litigation Strategy</w:t>
      </w:r>
    </w:p>
    <w:p>
      <w:pPr>
        <w:pStyle w:val="FirstParagraph"/>
        <w:rPr/>
      </w:pPr>
      <w:r>
        <w:rPr/>
        <w:t xml:space="preserve">Given the complexity of this situation, the evidence and analysis will be organized into specialized </w:t>
      </w:r>
      <w:r>
        <w:rPr>
          <w:b/>
          <w:bCs/>
        </w:rPr>
        <w:t>bundles (MEEK1–4)</w:t>
      </w:r>
      <w:r>
        <w:rPr/>
        <w:t xml:space="preserve"> for use in various legal actions. The acronym “MEEK” is used as an internal shorthand for these bundles. Each subset will contain a detailed brief (in .docx format), an indexed list of exhibits (with citations), and the source evidence files themselves (organized and numbered as per the exhibit index). The bundles and their strategic purposes are as follows:</w:t>
      </w:r>
    </w:p>
    <w:p>
      <w:pPr>
        <w:pStyle w:val="Heading3"/>
        <w:rPr/>
      </w:pPr>
      <w:bookmarkStart w:id="15" w:name="Xe25205cad873e667afb080955e46fc4a0e7bcec"/>
      <w:r>
        <w:rPr>
          <w:b/>
          <w:bCs/>
        </w:rPr>
        <w:t>MEEK1 – Complaints, Claims &amp; Torts (Lawsuits Bundle)</w:t>
      </w:r>
    </w:p>
    <w:p>
      <w:pPr>
        <w:pStyle w:val="FirstParagraph"/>
        <w:rPr/>
      </w:pPr>
      <w:r>
        <w:rPr/>
        <w:t xml:space="preserve">This bundle prepares materials for </w:t>
      </w:r>
      <w:r>
        <w:rPr>
          <w:b/>
          <w:bCs/>
        </w:rPr>
        <w:t>formal complaints and potential civil lawsuits</w:t>
      </w:r>
      <w:r>
        <w:rPr/>
        <w:t xml:space="preserve"> arising from the facts:</w:t>
      </w:r>
    </w:p>
    <w:p>
      <w:pPr>
        <w:pStyle w:val="Normal"/>
        <w:numPr>
          <w:ilvl w:val="0"/>
          <w:numId w:val="69"/>
        </w:numPr>
        <w:rPr/>
      </w:pPr>
      <w:r>
        <w:rPr>
          <w:b/>
          <w:bCs/>
        </w:rPr>
        <w:t>Civil Torts Against Emily (and others):</w:t>
      </w:r>
      <w:r>
        <w:rPr/>
        <w:t xml:space="preserve"> It includes draft complaint(s) to file against Emily Watson (and possibly co-conspirators) for tortious acts such as </w:t>
      </w:r>
      <w:r>
        <w:rPr>
          <w:b/>
          <w:bCs/>
        </w:rPr>
        <w:t>Malicious Prosecution/Abuse of Process</w:t>
      </w:r>
      <w:r>
        <w:rPr/>
        <w:t xml:space="preserve">, </w:t>
      </w:r>
      <w:r>
        <w:rPr>
          <w:b/>
          <w:bCs/>
        </w:rPr>
        <w:t>Intentional Infliction of Emotional Distress</w:t>
      </w:r>
      <w:r>
        <w:rPr/>
        <w:t xml:space="preserve">, and </w:t>
      </w:r>
      <w:r>
        <w:rPr>
          <w:b/>
          <w:bCs/>
        </w:rPr>
        <w:t>Defamation</w:t>
      </w:r>
      <w:r>
        <w:rPr/>
        <w:t>. For example, Emily’s procurement of the PPO under false pretenses and her false poisoning accusations caused direct harm to Andrew’s reputation and emotional state – elements for defamation (slander per se, as accusing someone of a crime) and IIED</w:t>
      </w:r>
      <w:hyperlink r:id="rId129">
        <w:r>
          <w:rPr>
            <w:rStyle w:val="Hyperlink"/>
          </w:rPr>
          <w:t>[15]</w:t>
        </w:r>
      </w:hyperlink>
      <w:hyperlink r:id="rId130">
        <w:r>
          <w:rPr>
            <w:rStyle w:val="Hyperlink"/>
          </w:rPr>
          <w:t>[26]</w:t>
        </w:r>
      </w:hyperlink>
      <w:r>
        <w:rPr/>
        <w:t xml:space="preserve">. The bundle cites Michigan caselaw establishing these torts (e.g., </w:t>
      </w:r>
      <w:r>
        <w:rPr>
          <w:i/>
          <w:iCs/>
        </w:rPr>
        <w:t>Friedman v Dozorc</w:t>
      </w:r>
      <w:r>
        <w:rPr/>
        <w:t xml:space="preserve"> for malicious prosecution standards, </w:t>
      </w:r>
      <w:r>
        <w:rPr>
          <w:i/>
          <w:iCs/>
        </w:rPr>
        <w:t>Dalley v Dykema Gossett</w:t>
      </w:r>
      <w:r>
        <w:rPr/>
        <w:t xml:space="preserve"> for abuse of process). It also compiles evidence that </w:t>
      </w:r>
      <w:r>
        <w:rPr>
          <w:b/>
          <w:bCs/>
        </w:rPr>
        <w:t>Emily acted with malice and without probable cause</w:t>
      </w:r>
      <w:r>
        <w:rPr/>
        <w:t>, a key element for malicious prosecution, given the PPO was based on lies</w:t>
      </w:r>
      <w:hyperlink r:id="rId131">
        <w:r>
          <w:rPr>
            <w:rStyle w:val="Hyperlink"/>
          </w:rPr>
          <w:t>[25]</w:t>
        </w:r>
      </w:hyperlink>
      <w:r>
        <w:rPr/>
        <w:t xml:space="preserve">. Any </w:t>
      </w:r>
      <w:r>
        <w:rPr>
          <w:b/>
          <w:bCs/>
        </w:rPr>
        <w:t>financial fraud</w:t>
      </w:r>
      <w:r>
        <w:rPr/>
        <w:t xml:space="preserve"> (like lying on support forms) could form part of a </w:t>
      </w:r>
      <w:r>
        <w:rPr>
          <w:b/>
          <w:bCs/>
        </w:rPr>
        <w:t>fraud claim</w:t>
      </w:r>
      <w:r>
        <w:rPr/>
        <w:t>, though that might be handled within family court rather than a separate tort – it’s documented regardless.</w:t>
      </w:r>
    </w:p>
    <w:p>
      <w:pPr>
        <w:pStyle w:val="Normal"/>
        <w:numPr>
          <w:ilvl w:val="0"/>
          <w:numId w:val="70"/>
        </w:numPr>
        <w:rPr/>
      </w:pPr>
      <w:r>
        <w:rPr>
          <w:b/>
          <w:bCs/>
        </w:rPr>
        <w:t>Complaint for Housing/Eviction Violations:</w:t>
      </w:r>
      <w:r>
        <w:rPr/>
        <w:t xml:space="preserve"> If applicable, this bundle contains a complaint under </w:t>
      </w:r>
      <w:r>
        <w:rPr>
          <w:b/>
          <w:bCs/>
        </w:rPr>
        <w:t>MCL 600.2918 (Michigan’s anti-lockout statute)</w:t>
      </w:r>
      <w:r>
        <w:rPr/>
        <w:t xml:space="preserve"> against Emily for the unlawful eviction in Nov 2023. Emily used the PPO to effectively kick Andrew out without proper legal process, and then rifled through his belongings</w:t>
      </w:r>
      <w:hyperlink r:id="rId132">
        <w:r>
          <w:rPr>
            <w:rStyle w:val="Hyperlink"/>
          </w:rPr>
          <w:t>[23]</w:t>
        </w:r>
      </w:hyperlink>
      <w:r>
        <w:rPr/>
        <w:t>. The statute provides for damages if someone is locked out or their property is taken without court eviction. The evidence (texts showing Andrew asking to retrieve items, and Emily denying access</w:t>
      </w:r>
      <w:hyperlink r:id="rId133">
        <w:r>
          <w:rPr>
            <w:rStyle w:val="Hyperlink"/>
          </w:rPr>
          <w:t>[72]</w:t>
        </w:r>
      </w:hyperlink>
      <w:r>
        <w:rPr/>
        <w:t xml:space="preserve">) supports this cause. Additionally, if Emily improperly kept or disposed of Andrew’s property (the mason jar, webcam, etc.), a </w:t>
      </w:r>
      <w:r>
        <w:rPr>
          <w:b/>
          <w:bCs/>
        </w:rPr>
        <w:t>conversion</w:t>
      </w:r>
      <w:r>
        <w:rPr/>
        <w:t xml:space="preserve"> claim can be made.</w:t>
      </w:r>
    </w:p>
    <w:p>
      <w:pPr>
        <w:pStyle w:val="Normal"/>
        <w:numPr>
          <w:ilvl w:val="0"/>
          <w:numId w:val="71"/>
        </w:numPr>
        <w:rPr/>
      </w:pPr>
      <w:r>
        <w:rPr>
          <w:b/>
          <w:bCs/>
        </w:rPr>
        <w:t>Constitutional Claims (42 U.S.C. §1983):</w:t>
      </w:r>
      <w:r>
        <w:rPr/>
        <w:t xml:space="preserve"> The bundle outlines a possible </w:t>
      </w:r>
      <w:r>
        <w:rPr>
          <w:b/>
          <w:bCs/>
        </w:rPr>
        <w:t>federal civil rights lawsuit</w:t>
      </w:r>
      <w:r>
        <w:rPr/>
        <w:t xml:space="preserve"> for violation of Andrew’s rights under color of law. This would be aimed at the </w:t>
      </w:r>
      <w:r>
        <w:rPr>
          <w:b/>
          <w:bCs/>
        </w:rPr>
        <w:t>Muskegon County Friend of Court or the judge’s actions</w:t>
      </w:r>
      <w:r>
        <w:rPr/>
        <w:t xml:space="preserve">. It’s acknowledged that Judge McNeill herself is immune from personal liability for judicial acts, but the pattern of bias and procedural misconduct might be framed as a </w:t>
      </w:r>
      <w:r>
        <w:rPr>
          <w:b/>
          <w:bCs/>
        </w:rPr>
        <w:t>due process violation</w:t>
      </w:r>
      <w:r>
        <w:rPr/>
        <w:t xml:space="preserve"> by the county’s system. For instance, </w:t>
      </w:r>
      <w:r>
        <w:rPr>
          <w:b/>
          <w:bCs/>
        </w:rPr>
        <w:t>ex parte deprivation of custody without due process</w:t>
      </w:r>
      <w:r>
        <w:rPr/>
        <w:t xml:space="preserve"> is actionable if not remedied. We cite </w:t>
      </w:r>
      <w:r>
        <w:rPr>
          <w:i/>
          <w:iCs/>
        </w:rPr>
        <w:t>Schelske v. Austin</w:t>
      </w:r>
      <w:r>
        <w:rPr/>
        <w:t xml:space="preserve"> (E.D. Mich.) and similar cases where courts entertained §1983 claims in extreme custody interference scenarios. The evidence of Judge McNeill’s bias and failure to provide a hearing</w:t>
      </w:r>
      <w:hyperlink r:id="rId134">
        <w:r>
          <w:rPr>
            <w:rStyle w:val="Hyperlink"/>
          </w:rPr>
          <w:t>[20]</w:t>
        </w:r>
      </w:hyperlink>
      <w:r>
        <w:rPr/>
        <w:t xml:space="preserve"> is used to support the argument that Andrew’s </w:t>
      </w:r>
      <w:r>
        <w:rPr>
          <w:b/>
          <w:bCs/>
        </w:rPr>
        <w:t>14th Amendment rights</w:t>
      </w:r>
      <w:r>
        <w:rPr/>
        <w:t xml:space="preserve"> were violated. This portion of MEEK1 is prepared if Andrew chooses to file in federal court or use it as leverage (often even a drafted §1983 complaint can encourage state actors to correct issues). The bundle includes a draft §1983 complaint and a memorandum on Rooker-Feldman doctrine (to navigate the fact that custody decisions are typically state matters – highlighting that ongoing patterns of bias might fit an exception).</w:t>
      </w:r>
    </w:p>
    <w:p>
      <w:pPr>
        <w:pStyle w:val="Normal"/>
        <w:numPr>
          <w:ilvl w:val="0"/>
          <w:numId w:val="72"/>
        </w:numPr>
        <w:rPr/>
      </w:pPr>
      <w:r>
        <w:rPr>
          <w:b/>
          <w:bCs/>
        </w:rPr>
        <w:t>Professional Complaints:</w:t>
      </w:r>
      <w:r>
        <w:rPr/>
        <w:t xml:space="preserve"> MEEK1 also holds drafts of complaints to oversight bodies: e.g., a </w:t>
      </w:r>
      <w:r>
        <w:rPr>
          <w:b/>
          <w:bCs/>
        </w:rPr>
        <w:t>State Bar grievance</w:t>
      </w:r>
      <w:r>
        <w:rPr/>
        <w:t xml:space="preserve"> against Jennifer Barnes if evidence shows she facilitated perjury (though no direct evidence of her misconduct has surfaced, it’s prepared if needed), and a </w:t>
      </w:r>
      <w:r>
        <w:rPr>
          <w:b/>
          <w:bCs/>
        </w:rPr>
        <w:t>Judicial Tenure Commission complaint</w:t>
      </w:r>
      <w:r>
        <w:rPr/>
        <w:t xml:space="preserve"> against Judge McNeill (this is more squarely addressed in MEEK3, but cross-referenced here since it’s a formal complaint). It also might contain a </w:t>
      </w:r>
      <w:r>
        <w:rPr>
          <w:b/>
          <w:bCs/>
        </w:rPr>
        <w:t>FOIA lawsuit</w:t>
      </w:r>
      <w:r>
        <w:rPr/>
        <w:t xml:space="preserve"> draft if any crucial records (like police bodycam of the welfare checks, or FOC communications) were denied under FOIA – we note this since Andrew did successfully FOIA some info (like support records). Should FOIA issues arise, the bundle is ready to litigate those as well.</w:t>
      </w:r>
    </w:p>
    <w:p>
      <w:pPr>
        <w:pStyle w:val="FirstParagraph"/>
        <w:rPr/>
      </w:pPr>
      <w:r>
        <w:rPr/>
        <w:t xml:space="preserve">Each claim in this bundle is matched with supporting exhibits (e.g., false PPO evidence for malicious prosecution, medical records for defamation falsity, etc.). The </w:t>
      </w:r>
      <w:r>
        <w:rPr>
          <w:b/>
          <w:bCs/>
        </w:rPr>
        <w:t>goal of MEEK1</w:t>
      </w:r>
      <w:r>
        <w:rPr/>
        <w:t xml:space="preserve"> is to pursue remedies outside the family court: monetary damages for harms inflicted and official accountability via civil suits. All documents in this bundle are formatted as court-ready (with captions, jurisdictional statements, etc.), and citations are to Michigan law (e.g., MCL references, Michigan case precedents) to maintain focus on Michigan standards.</w:t>
      </w:r>
      <w:bookmarkEnd w:id="15"/>
    </w:p>
    <w:p>
      <w:pPr>
        <w:pStyle w:val="Heading3"/>
        <w:rPr/>
      </w:pPr>
      <w:bookmarkStart w:id="16" w:name="Xbb169893692ccbbd1868dfb05cc0696938244c7"/>
      <w:r>
        <w:rPr>
          <w:b/>
          <w:bCs/>
        </w:rPr>
        <w:t>MEEK2 – Allegations, Perjury &amp; Due Process Violations (Evidence Bundle)</w:t>
      </w:r>
    </w:p>
    <w:p>
      <w:pPr>
        <w:pStyle w:val="FirstParagraph"/>
        <w:rPr/>
      </w:pPr>
      <w:r>
        <w:rPr/>
        <w:t xml:space="preserve">This subset compiles all evidence related to </w:t>
      </w:r>
      <w:r>
        <w:rPr>
          <w:b/>
          <w:bCs/>
        </w:rPr>
        <w:t>false allegations by Emily and due process errors</w:t>
      </w:r>
      <w:r>
        <w:rPr/>
        <w:t xml:space="preserve">, mainly for use in </w:t>
      </w:r>
      <w:r>
        <w:rPr>
          <w:b/>
          <w:bCs/>
        </w:rPr>
        <w:t>family court motions or appeals</w:t>
      </w:r>
      <w:r>
        <w:rPr/>
        <w:t>:</w:t>
      </w:r>
    </w:p>
    <w:p>
      <w:pPr>
        <w:pStyle w:val="Normal"/>
        <w:numPr>
          <w:ilvl w:val="0"/>
          <w:numId w:val="73"/>
        </w:numPr>
        <w:rPr/>
      </w:pPr>
      <w:r>
        <w:rPr>
          <w:b/>
          <w:bCs/>
        </w:rPr>
        <w:t>Master List of False Allegations:</w:t>
      </w:r>
      <w:r>
        <w:rPr/>
        <w:t xml:space="preserve"> A document enumerates each of Emily’s claims alongside the direct refuting evidence (much like the “Accusation &amp; Contradiction” section above, but in a concise table form). For instance, </w:t>
      </w:r>
      <w:r>
        <w:rPr>
          <w:i/>
          <w:iCs/>
        </w:rPr>
        <w:t>“Claim: Andrew poisoned me with arsenic – Refutation: Hospital toxicology report shows no poison (Exhibit C)</w:t>
      </w:r>
      <w:hyperlink r:id="rId135">
        <w:r>
          <w:rPr>
            <w:rStyle w:val="Hyperlink"/>
            <w:i/>
            <w:iCs/>
          </w:rPr>
          <w:t>[15]</w:t>
        </w:r>
      </w:hyperlink>
      <w:r>
        <w:rPr>
          <w:i/>
          <w:iCs/>
        </w:rPr>
        <w:t>.”</w:t>
      </w:r>
      <w:r>
        <w:rPr/>
        <w:t xml:space="preserve"> Each entry cites the corresponding exhibit and relevant law (e.g., perjury statute, if it was a sworn lie). This will be useful in any motion to </w:t>
      </w:r>
      <w:r>
        <w:rPr>
          <w:b/>
          <w:bCs/>
        </w:rPr>
        <w:t>terminate the PPO</w:t>
      </w:r>
      <w:r>
        <w:rPr/>
        <w:t xml:space="preserve"> (as Andrew has already moved for) and to </w:t>
      </w:r>
      <w:r>
        <w:rPr>
          <w:b/>
          <w:bCs/>
        </w:rPr>
        <w:t>modify custody</w:t>
      </w:r>
      <w:r>
        <w:rPr/>
        <w:t xml:space="preserve"> – demonstrating to the court that prior orders were based on falsities and thus should be reversed</w:t>
      </w:r>
      <w:hyperlink r:id="rId136">
        <w:r>
          <w:rPr>
            <w:rStyle w:val="Hyperlink"/>
          </w:rPr>
          <w:t>[73]</w:t>
        </w:r>
      </w:hyperlink>
      <w:hyperlink r:id="rId137">
        <w:r>
          <w:rPr>
            <w:rStyle w:val="Hyperlink"/>
          </w:rPr>
          <w:t>[15]</w:t>
        </w:r>
      </w:hyperlink>
      <w:r>
        <w:rPr/>
        <w:t>.</w:t>
      </w:r>
    </w:p>
    <w:p>
      <w:pPr>
        <w:pStyle w:val="Normal"/>
        <w:numPr>
          <w:ilvl w:val="0"/>
          <w:numId w:val="74"/>
        </w:numPr>
        <w:rPr/>
      </w:pPr>
      <w:r>
        <w:rPr>
          <w:b/>
          <w:bCs/>
        </w:rPr>
        <w:t>Perjury Dossier:</w:t>
      </w:r>
      <w:r>
        <w:rPr/>
        <w:t xml:space="preserve"> Within this bundle is a ready-to-go package for the </w:t>
      </w:r>
      <w:r>
        <w:rPr>
          <w:b/>
          <w:bCs/>
        </w:rPr>
        <w:t>prosecutor’s office</w:t>
      </w:r>
      <w:r>
        <w:rPr/>
        <w:t xml:space="preserve"> detailing instances of perjury. It lists dates and context where Emily lied under oath (PPO affidavit, income affidavit, in-court testimony discrepancies) along with evidence proving the truth. While it’s at the prosecutor’s discretion to charge her (and they often hesitate in custody matters), having this dossier means Andrew can formally request an investigation. It cites Michigan’s perjury laws (MCL 750.423, etc.) and highlights the materiality of each lie. Even if charges are never brought, the fact of submitting this to law enforcement could put pressure on Emily and help in civil court (showing the court the seriousness of her misconduct).</w:t>
      </w:r>
    </w:p>
    <w:p>
      <w:pPr>
        <w:pStyle w:val="Normal"/>
        <w:numPr>
          <w:ilvl w:val="0"/>
          <w:numId w:val="75"/>
        </w:numPr>
        <w:rPr/>
      </w:pPr>
      <w:r>
        <w:rPr>
          <w:b/>
          <w:bCs/>
        </w:rPr>
        <w:t>Due Process Log:</w:t>
      </w:r>
      <w:r>
        <w:rPr/>
        <w:t xml:space="preserve"> A chronological log (with transcript references) of every </w:t>
      </w:r>
      <w:r>
        <w:rPr>
          <w:b/>
          <w:bCs/>
        </w:rPr>
        <w:t>due process violation</w:t>
      </w:r>
      <w:r>
        <w:rPr/>
        <w:t xml:space="preserve"> Andrew experienced – e.g., </w:t>
      </w:r>
      <w:r>
        <w:rPr>
          <w:i/>
          <w:iCs/>
        </w:rPr>
        <w:t>“Feb 28, 2025: Judge muted Defendant multiple times, preventing objection (Transcript p.10)</w:t>
      </w:r>
      <w:hyperlink r:id="rId138">
        <w:r>
          <w:rPr>
            <w:rStyle w:val="Hyperlink"/>
            <w:i/>
            <w:iCs/>
          </w:rPr>
          <w:t>[40]</w:t>
        </w:r>
      </w:hyperlink>
      <w:r>
        <w:rPr>
          <w:i/>
          <w:iCs/>
        </w:rPr>
        <w:t>; Violates MCR 2.513 and due process”</w:t>
      </w:r>
      <w:r>
        <w:rPr/>
        <w:t xml:space="preserve">. This log is essentially a distilled list of reversible errors for use in an </w:t>
      </w:r>
      <w:r>
        <w:rPr>
          <w:b/>
          <w:bCs/>
        </w:rPr>
        <w:t>appeal brief or motion for relief</w:t>
      </w:r>
      <w:r>
        <w:rPr/>
        <w:t xml:space="preserve">. It aligns each incident with the legal standard (for appeal: issues like “denial of right to be heard” and “improper ex parte communication” are flagged with references to Michigan appellate decisions). If Andrew files an </w:t>
      </w:r>
      <w:r>
        <w:rPr>
          <w:b/>
          <w:bCs/>
        </w:rPr>
        <w:t>appeal to the Michigan Court of Appeals</w:t>
      </w:r>
      <w:r>
        <w:rPr/>
        <w:t xml:space="preserve"> regarding the August 2025 order or final custody order, this log becomes the foundation of his Statement of Issues and Argument. It’s already written with appellate language: e.g., “The trial court erred by conducting an ex parte proceeding without statutory justification, in contravention of MCR 3.207(B)(1), thereby denying Appellant’s due process rights</w:t>
      </w:r>
      <w:hyperlink r:id="rId139">
        <w:r>
          <w:rPr>
            <w:rStyle w:val="Hyperlink"/>
          </w:rPr>
          <w:t>[34]</w:t>
        </w:r>
      </w:hyperlink>
      <w:r>
        <w:rPr/>
        <w:t>.”</w:t>
      </w:r>
    </w:p>
    <w:p>
      <w:pPr>
        <w:pStyle w:val="Normal"/>
        <w:numPr>
          <w:ilvl w:val="0"/>
          <w:numId w:val="76"/>
        </w:numPr>
        <w:rPr/>
      </w:pPr>
      <w:r>
        <w:rPr>
          <w:b/>
          <w:bCs/>
        </w:rPr>
        <w:t>Motion to Set Aside/Vacate Orders:</w:t>
      </w:r>
      <w:r>
        <w:rPr/>
        <w:t xml:space="preserve"> Using the evidence of fraud and due process violations, MEEK2 includes a draft </w:t>
      </w:r>
      <w:r>
        <w:rPr>
          <w:b/>
          <w:bCs/>
        </w:rPr>
        <w:t>Motion under MCR 2.612(C)</w:t>
      </w:r>
      <w:r>
        <w:rPr/>
        <w:t xml:space="preserve"> to set aside any orders obtained by fraud (e.g., the PPO itself, and any custody order predicated on Emily’s false statements). It argues “intrinsic fraud” on the court – that Emily’s lies prevented a fair proceeding. It cites the newly discovered evidence (like FOIA results on her income, or the medical report) as grounds to re-open decisions. This motion is tailored to family court and meant to be filed if the current judge or a successor might consider it.</w:t>
      </w:r>
    </w:p>
    <w:p>
      <w:pPr>
        <w:pStyle w:val="Normal"/>
        <w:numPr>
          <w:ilvl w:val="0"/>
          <w:numId w:val="77"/>
        </w:numPr>
        <w:rPr/>
      </w:pPr>
      <w:r>
        <w:rPr>
          <w:b/>
          <w:bCs/>
        </w:rPr>
        <w:t>Appellate Brief Draft (if needed):</w:t>
      </w:r>
      <w:r>
        <w:rPr/>
        <w:t xml:space="preserve"> If an appeal is filed (for example, appealing the denial of the motion to terminate PPO, or a final custody order), this bundle has a draft brief structured with Introduction, Facts (drawn from this research’s timeline), Standard of Review, and Argument sections enumerating errors (e.g., </w:t>
      </w:r>
      <w:r>
        <w:rPr>
          <w:i/>
          <w:iCs/>
        </w:rPr>
        <w:t>“I. The trial court abused its discretion by suspending parenting time without the requisite finding of harm, violating MCL 722.27a(1).”</w:t>
      </w:r>
      <w:r>
        <w:rPr/>
        <w:t xml:space="preserve">). It leverages the timeline and due process log to make a cohesive narrative for appellate judges, who respond to clear legal errors. The brief relies on Michigan authorities like </w:t>
      </w:r>
      <w:r>
        <w:rPr>
          <w:i/>
          <w:iCs/>
        </w:rPr>
        <w:t>Vodvarka v. Grasmeyer</w:t>
      </w:r>
      <w:r>
        <w:rPr/>
        <w:t xml:space="preserve"> (for change in custody standards), </w:t>
      </w:r>
      <w:r>
        <w:rPr>
          <w:i/>
          <w:iCs/>
        </w:rPr>
        <w:t>Theroux v. Doerr</w:t>
      </w:r>
      <w:r>
        <w:rPr/>
        <w:t xml:space="preserve"> (for PPO evidentiary standards), etc., all cross-referenced with our evidence. By preparing this in advance, Andrew can file an appeal within deadlines without scrambling.</w:t>
      </w:r>
    </w:p>
    <w:p>
      <w:pPr>
        <w:pStyle w:val="FirstParagraph"/>
        <w:rPr/>
      </w:pPr>
      <w:r>
        <w:rPr/>
        <w:t xml:space="preserve">In essence, </w:t>
      </w:r>
      <w:r>
        <w:rPr>
          <w:b/>
          <w:bCs/>
        </w:rPr>
        <w:t>MEEK2</w:t>
      </w:r>
      <w:r>
        <w:rPr/>
        <w:t xml:space="preserve"> is the evidentiary and legal arsenal for </w:t>
      </w:r>
      <w:r>
        <w:rPr>
          <w:i/>
          <w:iCs/>
        </w:rPr>
        <w:t>correcting the record</w:t>
      </w:r>
      <w:r>
        <w:rPr/>
        <w:t xml:space="preserve"> and </w:t>
      </w:r>
      <w:r>
        <w:rPr>
          <w:i/>
          <w:iCs/>
        </w:rPr>
        <w:t>holding the current case to the law</w:t>
      </w:r>
      <w:r>
        <w:rPr/>
        <w:t xml:space="preserve">. It ensures that every lie and every unfair move is documented and ready to be presented to a court in a procedurally appropriate way. Whether the venue is a motion in trial court, an appellate court, or even a </w:t>
      </w:r>
      <w:r>
        <w:rPr>
          <w:b/>
          <w:bCs/>
        </w:rPr>
        <w:t>writ of habeas corpus</w:t>
      </w:r>
      <w:r>
        <w:rPr/>
        <w:t xml:space="preserve"> for parental rights (a rare but theoretical option in extreme cases of wrongful child removal), this bundle has the facts and law aligned.</w:t>
      </w:r>
      <w:bookmarkEnd w:id="16"/>
    </w:p>
    <w:p>
      <w:pPr>
        <w:pStyle w:val="Heading3"/>
        <w:rPr/>
      </w:pPr>
      <w:bookmarkStart w:id="17" w:name="Xa95f247f91a39c88f6e255c8af7e66efdc75eb4"/>
      <w:r>
        <w:rPr>
          <w:b/>
          <w:bCs/>
        </w:rPr>
        <w:t>MEEK3 – Judicial Misconduct Patterns (Oversight &amp; Recusal Bundle)</w:t>
      </w:r>
    </w:p>
    <w:p>
      <w:pPr>
        <w:pStyle w:val="FirstParagraph"/>
        <w:rPr/>
      </w:pPr>
      <w:r>
        <w:rPr/>
        <w:t xml:space="preserve">This bundle is dedicated to addressing the </w:t>
      </w:r>
      <w:r>
        <w:rPr>
          <w:b/>
          <w:bCs/>
        </w:rPr>
        <w:t>judicial misconduct</w:t>
      </w:r>
      <w:r>
        <w:rPr/>
        <w:t xml:space="preserve"> by Judge McNeill and ensuring future proceedings are before an impartial tribunal:</w:t>
      </w:r>
    </w:p>
    <w:p>
      <w:pPr>
        <w:pStyle w:val="Normal"/>
        <w:numPr>
          <w:ilvl w:val="0"/>
          <w:numId w:val="78"/>
        </w:numPr>
        <w:rPr/>
      </w:pPr>
      <w:r>
        <w:rPr>
          <w:b/>
          <w:bCs/>
        </w:rPr>
        <w:t>Affidavit of Bias &amp; Judicial Misconduct:</w:t>
      </w:r>
      <w:r>
        <w:rPr/>
        <w:t xml:space="preserve"> We have a polished version of Andrew’s </w:t>
      </w:r>
      <w:r>
        <w:rPr>
          <w:b/>
          <w:bCs/>
        </w:rPr>
        <w:t>Affidavit of Bias</w:t>
      </w:r>
      <w:r>
        <w:rPr/>
        <w:t xml:space="preserve"> (v2)</w:t>
      </w:r>
      <w:hyperlink r:id="rId140">
        <w:r>
          <w:rPr>
            <w:rStyle w:val="Hyperlink"/>
          </w:rPr>
          <w:t>[74]</w:t>
        </w:r>
      </w:hyperlink>
      <w:hyperlink r:id="rId141">
        <w:r>
          <w:rPr>
            <w:rStyle w:val="Hyperlink"/>
          </w:rPr>
          <w:t>[57]</w:t>
        </w:r>
      </w:hyperlink>
      <w:r>
        <w:rPr/>
        <w:t>, which is included here and was filed in support of his earlier disqualification motion. It itemizes each instance of bias (Exhibits A–J as in that affidavit) with supporting proof. This document is ready for reuse if needed – for example, if the case gets reassigned to a new judge, it can be used to inform them of what happened, or if any higher court asks for specifics. It’s also a template should Andrew need to file another disqualification motion (for instance, if any new judge shows bias or if McNeill oversees any related matter again).</w:t>
      </w:r>
    </w:p>
    <w:p>
      <w:pPr>
        <w:pStyle w:val="Normal"/>
        <w:numPr>
          <w:ilvl w:val="0"/>
          <w:numId w:val="79"/>
        </w:numPr>
        <w:rPr/>
      </w:pPr>
      <w:r>
        <w:rPr>
          <w:b/>
          <w:bCs/>
        </w:rPr>
        <w:t>Judicial Tenure Commission (JTC) Complaint:</w:t>
      </w:r>
      <w:r>
        <w:rPr/>
        <w:t xml:space="preserve"> A comprehensive </w:t>
      </w:r>
      <w:r>
        <w:rPr>
          <w:b/>
          <w:bCs/>
        </w:rPr>
        <w:t>complaint to the Michigan Judicial Tenure Commission</w:t>
      </w:r>
      <w:r>
        <w:rPr/>
        <w:t xml:space="preserve"> is included. It is essentially a narrative of Judge McNeill’s violations of the Michigan Code of Judicial Conduct, supported by transcripts and orders. It highlights Canons </w:t>
      </w:r>
      <w:r>
        <w:rPr>
          <w:b/>
          <w:bCs/>
        </w:rPr>
        <w:t>2(A)</w:t>
      </w:r>
      <w:r>
        <w:rPr/>
        <w:t xml:space="preserve"> (appearance of impropriety) and </w:t>
      </w:r>
      <w:r>
        <w:rPr>
          <w:b/>
          <w:bCs/>
        </w:rPr>
        <w:t>3(A)(4)</w:t>
      </w:r>
      <w:r>
        <w:rPr/>
        <w:t xml:space="preserve"> (ex parte evidence) primarily</w:t>
      </w:r>
      <w:hyperlink r:id="rId142">
        <w:r>
          <w:rPr>
            <w:rStyle w:val="Hyperlink"/>
          </w:rPr>
          <w:t>[28]</w:t>
        </w:r>
      </w:hyperlink>
      <w:hyperlink r:id="rId143">
        <w:r>
          <w:rPr>
            <w:rStyle w:val="Hyperlink"/>
          </w:rPr>
          <w:t>[58]</w:t>
        </w:r>
      </w:hyperlink>
      <w:r>
        <w:rPr/>
        <w:t>. This complaint (in letter form, with attached exhibits) will be sent to the JTC to request an investigation. While JTC proceedings are confidential and slow, even initiating it can have an effect – the judge will be notified and might tread more carefully. In egregious cases, JTC action could lead to discipline. Our evidence of the judge telling a party not to file something with the clerk (thereby hiding evidence)</w:t>
      </w:r>
      <w:hyperlink r:id="rId144">
        <w:r>
          <w:rPr>
            <w:rStyle w:val="Hyperlink"/>
          </w:rPr>
          <w:t>[54]</w:t>
        </w:r>
      </w:hyperlink>
      <w:r>
        <w:rPr/>
        <w:t xml:space="preserve"> and openly ignoring legal standards is the kind of concrete misconduct JTC looks at. MEEK3 ensures this complaint is well-documented, citing the Michigan Court Rules and canons she breached, with each example (muting the mic, etc.) referenced to transcripts</w:t>
      </w:r>
      <w:hyperlink r:id="rId145">
        <w:r>
          <w:rPr>
            <w:rStyle w:val="Hyperlink"/>
          </w:rPr>
          <w:t>[40]</w:t>
        </w:r>
      </w:hyperlink>
      <w:r>
        <w:rPr/>
        <w:t xml:space="preserve">. </w:t>
      </w:r>
      <w:r>
        <w:rPr>
          <w:b/>
          <w:bCs/>
        </w:rPr>
        <w:t>Status:</w:t>
      </w:r>
      <w:r>
        <w:rPr/>
        <w:t xml:space="preserve"> This complaint will be submitted once the custody case is concluded or sooner if strategic, and a copy kept in the bundle.</w:t>
      </w:r>
    </w:p>
    <w:p>
      <w:pPr>
        <w:pStyle w:val="Normal"/>
        <w:numPr>
          <w:ilvl w:val="0"/>
          <w:numId w:val="80"/>
        </w:numPr>
        <w:rPr/>
      </w:pPr>
      <w:r>
        <w:rPr>
          <w:b/>
          <w:bCs/>
        </w:rPr>
        <w:t>Pattern &amp; Practice Evidence:</w:t>
      </w:r>
      <w:r>
        <w:rPr/>
        <w:t xml:space="preserve"> The bundle also contains any info on </w:t>
      </w:r>
      <w:r>
        <w:rPr>
          <w:b/>
          <w:bCs/>
        </w:rPr>
        <w:t>whether Judge McNeill has shown bias in other cases</w:t>
      </w:r>
      <w:r>
        <w:rPr/>
        <w:t xml:space="preserve"> (if available). For instance, if public records or news show any reprimands or similar complaints, that would be appended. (A preliminary search did not reveal such, but this section is reserved.) This is more for a narrative if needed – but since we stick to evidence, it may remain empty unless such evidence surfaces via other litigants or decisions.</w:t>
      </w:r>
    </w:p>
    <w:p>
      <w:pPr>
        <w:pStyle w:val="Normal"/>
        <w:numPr>
          <w:ilvl w:val="0"/>
          <w:numId w:val="81"/>
        </w:numPr>
        <w:rPr/>
      </w:pPr>
      <w:r>
        <w:rPr>
          <w:b/>
          <w:bCs/>
        </w:rPr>
        <w:t>Recusal/Change of Venue Motions:</w:t>
      </w:r>
      <w:r>
        <w:rPr/>
        <w:t xml:space="preserve"> In case future motions need a fresh judge, MEEK3 has drafts for a </w:t>
      </w:r>
      <w:r>
        <w:rPr>
          <w:b/>
          <w:bCs/>
        </w:rPr>
        <w:t>motion to recuse or change venue</w:t>
      </w:r>
      <w:r>
        <w:rPr/>
        <w:t xml:space="preserve">. For example, if Andrew’s omnibus motion is set to be heard by Judge McNeill in late 2025, he may want to renew his disqualification request given the amplified record of bias. The draft motion invokes </w:t>
      </w:r>
      <w:r>
        <w:rPr>
          <w:b/>
          <w:bCs/>
        </w:rPr>
        <w:t>MCR 2.003</w:t>
      </w:r>
      <w:r>
        <w:rPr/>
        <w:t xml:space="preserve"> again, adding all new instances since the last motion (like the ex parte handling and ignoring the HealthWest report). Additionally, if needed, a </w:t>
      </w:r>
      <w:r>
        <w:rPr>
          <w:b/>
          <w:bCs/>
        </w:rPr>
        <w:t>motion for change of venue</w:t>
      </w:r>
      <w:r>
        <w:rPr/>
        <w:t xml:space="preserve"> to another county is prepared (though custody cases rarely move venue, this is more a backup if Muskegon’s bench as a whole is seen as conflicted). It argues that due to the high-profile nature of the dispute and the issues with the current judge, moving to an adjacent county’s family court could ensure fairness (not commonly granted, but worth having in extreme scenario).</w:t>
      </w:r>
    </w:p>
    <w:p>
      <w:pPr>
        <w:pStyle w:val="Normal"/>
        <w:numPr>
          <w:ilvl w:val="0"/>
          <w:numId w:val="82"/>
        </w:numPr>
        <w:rPr/>
      </w:pPr>
      <w:r>
        <w:rPr>
          <w:b/>
          <w:bCs/>
        </w:rPr>
        <w:t>Media &amp; Public Pressure Packet:</w:t>
      </w:r>
      <w:r>
        <w:rPr/>
        <w:t xml:space="preserve"> While not exactly a legal filing, MEEK3 includes a “press kit” of sorts – summarizing the judicial misconduct in a factual way that could be shared with media or advocacy groups. It essentially repackages the affidavit of bias into a one-page bullet list of “Judge X did Y (date) – violating law Z.” The reason: sometimes public scrutiny can indirectly prompt quicker action (e.g., a chief judge reassigning a case). This is to be used carefully (and likely after all court remedies are attempted, to avoid antagonizing the judge prematurely). It’s there if needed for Andrew to tell his story to, say, a journalist or a fathers’ rights organization, ensuring accuracy and reference to actual evidence rather than mere opinion.</w:t>
      </w:r>
    </w:p>
    <w:p>
      <w:pPr>
        <w:pStyle w:val="FirstParagraph"/>
        <w:rPr/>
      </w:pPr>
      <w:r>
        <w:rPr>
          <w:b/>
          <w:bCs/>
        </w:rPr>
        <w:t>Goal of MEEK3:</w:t>
      </w:r>
      <w:r>
        <w:rPr/>
        <w:t xml:space="preserve"> Ensure that moving forward, </w:t>
      </w:r>
      <w:r>
        <w:rPr>
          <w:b/>
          <w:bCs/>
        </w:rPr>
        <w:t>any decision-maker is unbiased</w:t>
      </w:r>
      <w:r>
        <w:rPr/>
        <w:t xml:space="preserve">. By documenting misconduct, we aim either to remove the problematic judge or at least constrain her with higher-court oversight. This bundle serves both to </w:t>
      </w:r>
      <w:r>
        <w:rPr>
          <w:i/>
          <w:iCs/>
        </w:rPr>
        <w:t>correct the past injustice</w:t>
      </w:r>
      <w:r>
        <w:rPr/>
        <w:t xml:space="preserve"> (through JTC or appeal) and to </w:t>
      </w:r>
      <w:r>
        <w:rPr>
          <w:i/>
          <w:iCs/>
        </w:rPr>
        <w:t>prevent future ones</w:t>
      </w:r>
      <w:r>
        <w:rPr/>
        <w:t xml:space="preserve"> (through recusal or increased scrutiny).</w:t>
      </w:r>
      <w:bookmarkEnd w:id="17"/>
    </w:p>
    <w:p>
      <w:pPr>
        <w:pStyle w:val="Heading3"/>
        <w:rPr/>
      </w:pPr>
      <w:bookmarkStart w:id="18" w:name="X3173632fac40cc8d475435a2f47fba382c31bcc"/>
      <w:r>
        <w:rPr>
          <w:b/>
          <w:bCs/>
        </w:rPr>
        <w:t>MEEK4 – Custody Interference &amp; Timeline (Remedies for Custodial Harm)</w:t>
      </w:r>
    </w:p>
    <w:p>
      <w:pPr>
        <w:pStyle w:val="FirstParagraph"/>
        <w:rPr/>
      </w:pPr>
      <w:r>
        <w:rPr/>
        <w:t xml:space="preserve">This bundle is focused on the </w:t>
      </w:r>
      <w:r>
        <w:rPr>
          <w:b/>
          <w:bCs/>
        </w:rPr>
        <w:t>child custody issues, interference, and the comprehensive timeline</w:t>
      </w:r>
      <w:r>
        <w:rPr/>
        <w:t xml:space="preserve"> – essentially the core of ensuring Lincoln’s best interests are restored:</w:t>
      </w:r>
    </w:p>
    <w:p>
      <w:pPr>
        <w:pStyle w:val="Normal"/>
        <w:numPr>
          <w:ilvl w:val="0"/>
          <w:numId w:val="83"/>
        </w:numPr>
        <w:rPr/>
      </w:pPr>
      <w:r>
        <w:rPr>
          <w:b/>
          <w:bCs/>
        </w:rPr>
        <w:t>Custody Modification Brief:</w:t>
      </w:r>
      <w:r>
        <w:rPr/>
        <w:t xml:space="preserve"> A detailed </w:t>
      </w:r>
      <w:r>
        <w:rPr>
          <w:b/>
          <w:bCs/>
        </w:rPr>
        <w:t>brief in support of modifying custody and parenting time</w:t>
      </w:r>
      <w:r>
        <w:rPr/>
        <w:t xml:space="preserve"> is included (and has been filed as of the omnibus motion). It walks through all </w:t>
      </w:r>
      <w:r>
        <w:rPr>
          <w:b/>
          <w:bCs/>
        </w:rPr>
        <w:t>12 Best Interest Factors (MCL 722.23)</w:t>
      </w:r>
      <w:r>
        <w:rPr/>
        <w:t>, comparing Andrew and Emily on each</w:t>
      </w:r>
      <w:hyperlink r:id="rId146">
        <w:r>
          <w:rPr>
            <w:rStyle w:val="Hyperlink"/>
          </w:rPr>
          <w:t>[75]</w:t>
        </w:r>
      </w:hyperlink>
      <w:hyperlink r:id="rId147">
        <w:r>
          <w:rPr>
            <w:rStyle w:val="Hyperlink"/>
          </w:rPr>
          <w:t>[24]</w:t>
        </w:r>
      </w:hyperlink>
      <w:r>
        <w:rPr/>
        <w:t>. Much of this text is drawn from Andrew’s filings (like the Guardian Ad Litem ex parte motion content) – for example, Factor (a) love/affection: evidence of Lincoln’s strong bond with Andrew</w:t>
      </w:r>
      <w:hyperlink r:id="rId148">
        <w:r>
          <w:rPr>
            <w:rStyle w:val="Hyperlink"/>
          </w:rPr>
          <w:t>[65]</w:t>
        </w:r>
      </w:hyperlink>
      <w:r>
        <w:rPr/>
        <w:t xml:space="preserve"> vs. Emily’s interference; Factor (c) capacity: Andrew’s stable housing, income vs. Emily’s instability and undisclosed finances</w:t>
      </w:r>
      <w:hyperlink r:id="rId149">
        <w:r>
          <w:rPr>
            <w:rStyle w:val="Hyperlink"/>
          </w:rPr>
          <w:t>[11]</w:t>
        </w:r>
      </w:hyperlink>
      <w:r>
        <w:rPr/>
        <w:t>; Factor (j) willingness to facilitate relationship: Emily’s pattern of alienation and withholding</w:t>
      </w:r>
      <w:hyperlink r:id="rId150">
        <w:r>
          <w:rPr>
            <w:rStyle w:val="Hyperlink"/>
          </w:rPr>
          <w:t>[24]</w:t>
        </w:r>
      </w:hyperlink>
      <w:r>
        <w:rPr/>
        <w:t xml:space="preserve">. The brief concludes that </w:t>
      </w:r>
      <w:r>
        <w:rPr>
          <w:b/>
          <w:bCs/>
        </w:rPr>
        <w:t>the current custody arrangement is harmful to Lincoln</w:t>
      </w:r>
      <w:r>
        <w:rPr/>
        <w:t xml:space="preserve"> and requests primary or equal custody for Andrew. It cites the change in circumstances (Emily’s false PPO and alienation) as </w:t>
      </w:r>
      <w:r>
        <w:rPr>
          <w:b/>
          <w:bCs/>
        </w:rPr>
        <w:t>proper cause</w:t>
      </w:r>
      <w:r>
        <w:rPr/>
        <w:t xml:space="preserve"> to reopen under MCL 722.27(1)(c)</w:t>
      </w:r>
      <w:hyperlink r:id="rId151">
        <w:r>
          <w:rPr>
            <w:rStyle w:val="Hyperlink"/>
          </w:rPr>
          <w:t>[76]</w:t>
        </w:r>
      </w:hyperlink>
      <w:r>
        <w:rPr/>
        <w:t>. This brief is ready to present at a hearing, armed with the evidence exhibits. Essentially, it’s the legal argument tying all the evidence of Emily’s wrongdoing directly to the standards the judge must consider for custody.</w:t>
      </w:r>
    </w:p>
    <w:p>
      <w:pPr>
        <w:pStyle w:val="Normal"/>
        <w:numPr>
          <w:ilvl w:val="0"/>
          <w:numId w:val="84"/>
        </w:numPr>
        <w:rPr/>
      </w:pPr>
      <w:r>
        <w:rPr>
          <w:b/>
          <w:bCs/>
        </w:rPr>
        <w:t>Timeline Documentation:</w:t>
      </w:r>
      <w:r>
        <w:rPr/>
        <w:t xml:space="preserve"> We include the </w:t>
      </w:r>
      <w:r>
        <w:rPr>
          <w:b/>
          <w:bCs/>
        </w:rPr>
        <w:t>master timeline (JSON and a reader-friendly format)</w:t>
      </w:r>
      <w:r>
        <w:rPr/>
        <w:t xml:space="preserve"> of all incidents of custody interference (missed visits, etc.), as well as major legal events. For the custody court, a simplified version (perhaps a visual timeline or table) is presented, highlighting the pattern: </w:t>
      </w:r>
      <w:r>
        <w:rPr>
          <w:i/>
          <w:iCs/>
        </w:rPr>
        <w:t>e.g., “On X date – Mother denied Father parenting time (Exhibit G); On Y date – PPO used to block contact (Exhibit O)”</w:t>
      </w:r>
      <w:r>
        <w:rPr/>
        <w:t xml:space="preserve">. This shows the court a </w:t>
      </w:r>
      <w:r>
        <w:rPr>
          <w:b/>
          <w:bCs/>
        </w:rPr>
        <w:t>pattern of deliberate interference</w:t>
      </w:r>
      <w:r>
        <w:rPr/>
        <w:t xml:space="preserve">. Michigan law (MCL 722.27a(10)) allows the court to sanction a parent who refuses parenting time without good cause – including makeup time or even custody change. Our timeline is evidence that Emily repeatedly violated parenting time orders and spirit. The timeline is also handy for any </w:t>
      </w:r>
      <w:r>
        <w:rPr>
          <w:b/>
          <w:bCs/>
        </w:rPr>
        <w:t>Friend of the Court hearing</w:t>
      </w:r>
      <w:r>
        <w:rPr/>
        <w:t xml:space="preserve"> on parenting time enforcement – FOC could recommend sanctions or makeup time if presented clearly.</w:t>
      </w:r>
    </w:p>
    <w:p>
      <w:pPr>
        <w:pStyle w:val="Normal"/>
        <w:numPr>
          <w:ilvl w:val="0"/>
          <w:numId w:val="85"/>
        </w:numPr>
        <w:rPr/>
      </w:pPr>
      <w:r>
        <w:rPr>
          <w:b/>
          <w:bCs/>
        </w:rPr>
        <w:t>Harm Log for Child:</w:t>
      </w:r>
      <w:r>
        <w:rPr/>
        <w:t xml:space="preserve"> To supplement best-interest arguments, the bundle contains a log of </w:t>
      </w:r>
      <w:r>
        <w:rPr>
          <w:b/>
          <w:bCs/>
        </w:rPr>
        <w:t>observable harm to Lincoln</w:t>
      </w:r>
      <w:r>
        <w:rPr/>
        <w:t xml:space="preserve"> – like notes from his therapist (if he saw one), statements from neutral observers (e.g., a teacher noticing his sadness when father was absent), etc. If not already in evidence, Andrew can seek such statements. At minimum, his own testimony of Lincoln’s reactions (crying “I want Daddy”) is logged, and the AppClose exchanges demonstrate the child’s distress indirectly (perhaps messages where Andrew asks about Lincoln and Emily refuses, showing neglect of co-parent communication). This humanizes the issue for the judge – the </w:t>
      </w:r>
      <w:r>
        <w:rPr>
          <w:b/>
          <w:bCs/>
        </w:rPr>
        <w:t>child is being hurt</w:t>
      </w:r>
      <w:r>
        <w:rPr/>
        <w:t>, not just two parents fighting. Under factor (b) (emotional ties) and (i) (child’s preference, if old enough), this could be compelling.</w:t>
      </w:r>
    </w:p>
    <w:p>
      <w:pPr>
        <w:pStyle w:val="Normal"/>
        <w:numPr>
          <w:ilvl w:val="0"/>
          <w:numId w:val="86"/>
        </w:numPr>
        <w:rPr/>
      </w:pPr>
      <w:r>
        <w:rPr>
          <w:b/>
          <w:bCs/>
        </w:rPr>
        <w:t>Proposed Custody &amp; Parenting Time Order:</w:t>
      </w:r>
      <w:r>
        <w:rPr/>
        <w:t xml:space="preserve"> MEEK4 includes a draft </w:t>
      </w:r>
      <w:r>
        <w:rPr>
          <w:b/>
          <w:bCs/>
        </w:rPr>
        <w:t>order</w:t>
      </w:r>
      <w:r>
        <w:rPr/>
        <w:t xml:space="preserve"> for the court to sign if Andrew prevails. It’s important to provide a concrete plan. The proposed order does the following:</w:t>
      </w:r>
    </w:p>
    <w:p>
      <w:pPr>
        <w:pStyle w:val="Compact"/>
        <w:numPr>
          <w:ilvl w:val="0"/>
          <w:numId w:val="87"/>
        </w:numPr>
        <w:rPr/>
      </w:pPr>
      <w:r>
        <w:rPr>
          <w:b/>
          <w:bCs/>
        </w:rPr>
        <w:t>Custody:</w:t>
      </w:r>
      <w:r>
        <w:rPr/>
        <w:t xml:space="preserve"> Grants </w:t>
      </w:r>
      <w:r>
        <w:rPr>
          <w:b/>
          <w:bCs/>
        </w:rPr>
        <w:t>joint legal custody</w:t>
      </w:r>
      <w:r>
        <w:rPr/>
        <w:t xml:space="preserve"> to both, and either </w:t>
      </w:r>
      <w:r>
        <w:rPr>
          <w:b/>
          <w:bCs/>
        </w:rPr>
        <w:t>primary physical custody to Andrew</w:t>
      </w:r>
      <w:r>
        <w:rPr/>
        <w:t xml:space="preserve"> or at least equal 50/50 physical custody (the draft has options the judge can choose). It includes a schedule (perhaps alternating weeks or the </w:t>
      </w:r>
      <w:r>
        <w:rPr>
          <w:i/>
          <w:iCs/>
        </w:rPr>
        <w:t>2-2-3 schedule</w:t>
      </w:r>
      <w:r>
        <w:rPr/>
        <w:t xml:space="preserve"> depending on child’s age).</w:t>
      </w:r>
    </w:p>
    <w:p>
      <w:pPr>
        <w:pStyle w:val="Compact"/>
        <w:numPr>
          <w:ilvl w:val="0"/>
          <w:numId w:val="88"/>
        </w:numPr>
        <w:rPr/>
      </w:pPr>
      <w:r>
        <w:rPr>
          <w:b/>
          <w:bCs/>
        </w:rPr>
        <w:t>Parenting Time Enforcement:</w:t>
      </w:r>
      <w:r>
        <w:rPr/>
        <w:t xml:space="preserve"> It has strict provisions that if one parent wrongfully withholds the child, the other parent gets makeup days and the violating parent pays costs (per MCL 722.27a(5)–(8)). It might even specify using a </w:t>
      </w:r>
      <w:r>
        <w:rPr>
          <w:b/>
          <w:bCs/>
        </w:rPr>
        <w:t>neutral drop-off location or supervisor</w:t>
      </w:r>
      <w:r>
        <w:rPr/>
        <w:t xml:space="preserve"> initially, to ensure compliance.</w:t>
      </w:r>
    </w:p>
    <w:p>
      <w:pPr>
        <w:pStyle w:val="Compact"/>
        <w:numPr>
          <w:ilvl w:val="0"/>
          <w:numId w:val="89"/>
        </w:numPr>
        <w:rPr/>
      </w:pPr>
      <w:r>
        <w:rPr>
          <w:b/>
          <w:bCs/>
        </w:rPr>
        <w:t>PPO/DV Provisions:</w:t>
      </w:r>
      <w:r>
        <w:rPr/>
        <w:t xml:space="preserve"> It orders that the existing PPO is terminated (if not already) and that any future allegations of harassment be handled via monitored exchange rather than unilateral PPO, absent clear evidence. Essentially trying to prevent misuse of restraining orders in lieu of custody processes.</w:t>
      </w:r>
    </w:p>
    <w:p>
      <w:pPr>
        <w:pStyle w:val="Compact"/>
        <w:numPr>
          <w:ilvl w:val="0"/>
          <w:numId w:val="90"/>
        </w:numPr>
        <w:rPr/>
      </w:pPr>
      <w:r>
        <w:rPr>
          <w:b/>
          <w:bCs/>
        </w:rPr>
        <w:t>Guardian Ad Litem Appointment:</w:t>
      </w:r>
      <w:r>
        <w:rPr/>
        <w:t xml:space="preserve"> Given how fraught this case is, the draft order (and the earlier motion) requests a </w:t>
      </w:r>
      <w:r>
        <w:rPr>
          <w:b/>
          <w:bCs/>
        </w:rPr>
        <w:t>Guardian ad Litem</w:t>
      </w:r>
      <w:r>
        <w:rPr/>
        <w:t xml:space="preserve"> or Parenting Coordinator to oversee transitions and report to the court. This third party can help buffer and ensure the child’s needs are central. (We note that in the evidence, Andrew had indeed motioned for a GAL, which is wise.)</w:t>
      </w:r>
    </w:p>
    <w:p>
      <w:pPr>
        <w:pStyle w:val="Compact"/>
        <w:numPr>
          <w:ilvl w:val="0"/>
          <w:numId w:val="91"/>
        </w:numPr>
        <w:rPr/>
      </w:pPr>
      <w:r>
        <w:rPr>
          <w:b/>
          <w:bCs/>
        </w:rPr>
        <w:t>Therapeutic Interventions:</w:t>
      </w:r>
      <w:r>
        <w:rPr/>
        <w:t xml:space="preserve"> It includes that both parents and L.D.W. engage in </w:t>
      </w:r>
      <w:r>
        <w:rPr>
          <w:b/>
          <w:bCs/>
        </w:rPr>
        <w:t>reunification therapy</w:t>
      </w:r>
      <w:r>
        <w:rPr/>
        <w:t xml:space="preserve"> or co-parenting counseling to address the alienation that has occurred. This is targeted at remedying the psychological harm.</w:t>
      </w:r>
    </w:p>
    <w:p>
      <w:pPr>
        <w:pStyle w:val="Compact"/>
        <w:numPr>
          <w:ilvl w:val="0"/>
          <w:numId w:val="92"/>
        </w:numPr>
        <w:rPr/>
      </w:pPr>
      <w:r>
        <w:rPr>
          <w:b/>
          <w:bCs/>
        </w:rPr>
        <w:t>Financial Adjustments:</w:t>
      </w:r>
      <w:r>
        <w:rPr/>
        <w:t xml:space="preserve"> It adjusts child support in light of corrected incomes – e.g., imputing the previously hidden income to Emily and crediting Andrew for overpayments. Possibly it suspends support when parenting time is equal (per Michigan Child Support Formula, which often results in low or no support for 50/50 if incomes are similar).</w:t>
      </w:r>
    </w:p>
    <w:p>
      <w:pPr>
        <w:pStyle w:val="Compact"/>
        <w:numPr>
          <w:ilvl w:val="0"/>
          <w:numId w:val="93"/>
        </w:numPr>
        <w:rPr/>
      </w:pPr>
      <w:r>
        <w:rPr>
          <w:b/>
          <w:bCs/>
        </w:rPr>
        <w:t>Order language about communication:</w:t>
      </w:r>
      <w:r>
        <w:rPr/>
        <w:t xml:space="preserve"> It might also compel use of AppClose (or another platform) for all communications and that </w:t>
      </w:r>
      <w:r>
        <w:rPr>
          <w:b/>
          <w:bCs/>
        </w:rPr>
        <w:t>all messages be admissible</w:t>
      </w:r>
      <w:r>
        <w:rPr/>
        <w:t>, to discourage abuse via that channel. And it requires sharing of key info (school, medical) promptly – failing which can be contempt.</w:t>
      </w:r>
    </w:p>
    <w:p>
      <w:pPr>
        <w:pStyle w:val="FirstParagraph"/>
        <w:rPr/>
      </w:pPr>
      <w:r>
        <w:rPr/>
        <w:t>Having a draft order is useful because it shows the court exactly what outcome Andrew seeks, in a constructive manner, rather than just attacking Emily. It can often expedite the judge’s decision-making (if they agree on principle, they can just sign or tweak the proposed order).</w:t>
      </w:r>
    </w:p>
    <w:p>
      <w:pPr>
        <w:pStyle w:val="Normal"/>
        <w:numPr>
          <w:ilvl w:val="0"/>
          <w:numId w:val="94"/>
        </w:numPr>
        <w:rPr/>
      </w:pPr>
      <w:r>
        <w:rPr>
          <w:b/>
          <w:bCs/>
        </w:rPr>
        <w:t>Makeup Parenting Time Calculations:</w:t>
      </w:r>
      <w:r>
        <w:rPr/>
        <w:t xml:space="preserve"> To quantify the remedy, MEEK4 calculates the exact amount of parenting time Andrew missed due to Emily’s actions (e.g., “Andrew missed 8 overnights and 4 holiday days in Aug–Sep 2025 due to the wrongful suspension”). Under MCL 722.27a(8), the court can award </w:t>
      </w:r>
      <w:r>
        <w:rPr>
          <w:b/>
          <w:bCs/>
        </w:rPr>
        <w:t>compensatory parenting time</w:t>
      </w:r>
      <w:r>
        <w:rPr/>
        <w:t>. The bundle includes a schedule proposal for makeup time (for instance, giving Andrew extra weekends or a vacation block with L.D.W.). This is something we want in any interim order if immediate custody change isn’t granted – at least he should get make-up days so the child-father bond can recover.</w:t>
      </w:r>
    </w:p>
    <w:p>
      <w:pPr>
        <w:pStyle w:val="Normal"/>
        <w:numPr>
          <w:ilvl w:val="0"/>
          <w:numId w:val="95"/>
        </w:numPr>
        <w:rPr/>
      </w:pPr>
      <w:r>
        <w:rPr>
          <w:b/>
          <w:bCs/>
        </w:rPr>
        <w:t>Contempt Motion against Emily:</w:t>
      </w:r>
      <w:r>
        <w:rPr/>
        <w:t xml:space="preserve"> Within this subset is a ready motion to hold </w:t>
      </w:r>
      <w:r>
        <w:rPr>
          <w:b/>
          <w:bCs/>
        </w:rPr>
        <w:t>Emily in contempt</w:t>
      </w:r>
      <w:r>
        <w:rPr/>
        <w:t xml:space="preserve"> for her violations of the prior parenting time order (for each incident of withholding). While the focus is now on changing custody, having this motion filed or on file underscores to the court that </w:t>
      </w:r>
      <w:r>
        <w:rPr>
          <w:i/>
          <w:iCs/>
        </w:rPr>
        <w:t>one</w:t>
      </w:r>
      <w:r>
        <w:rPr/>
        <w:t xml:space="preserve"> party (Emily) has been flouting court orders. It asks for sanctions like fines or even jail (though courts rarely jail a custodial parent for denial, the threat can be a deterrent). Importantly, it asks that Emily pay Andrew’s attorney fees for having to bring the motion, under MCL 600.1721. Even if the judge merges this into the custody decision, it sends a message.</w:t>
      </w:r>
    </w:p>
    <w:p>
      <w:pPr>
        <w:pStyle w:val="FirstParagraph"/>
        <w:rPr/>
      </w:pPr>
      <w:r>
        <w:rPr>
          <w:b/>
          <w:bCs/>
        </w:rPr>
        <w:t>Goal of MEEK4:</w:t>
      </w:r>
      <w:r>
        <w:rPr/>
        <w:t xml:space="preserve"> Restore a healthy situation for the child. It uses the amassed evidence not just to call out lies or misconduct, but to answer the question: “What now? How do we fix this for the child’s benefit?” By providing a positive solution (a better custody plan, enforcement provisions, and healing measures), this bundle increases the chances of court adoption. It is essentially the </w:t>
      </w:r>
      <w:r>
        <w:rPr>
          <w:b/>
          <w:bCs/>
        </w:rPr>
        <w:t>remedy bundle for the family itself</w:t>
      </w:r>
      <w:r>
        <w:rPr/>
        <w:t xml:space="preserve">, ensuring that all harm logs lead to concrete requests: </w:t>
      </w:r>
      <w:r>
        <w:rPr>
          <w:i/>
          <w:iCs/>
        </w:rPr>
        <w:t>change custody, enforce the orders, get help for the child, and prevent future alienation</w:t>
      </w:r>
      <w:r>
        <w:rPr/>
        <w:t>.</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Versioning and Next Steps:</w:t>
      </w:r>
      <w:r>
        <w:rPr/>
        <w:t xml:space="preserve"> All outputs from each research cycle (timelines, indices, briefs) are labeled with version numbers and timestamps (e.g., </w:t>
      </w:r>
      <w:r>
        <w:rPr>
          <w:i/>
          <w:iCs/>
        </w:rPr>
        <w:t>Timeline_v1_2025-10-08.json</w:t>
      </w:r>
      <w:r>
        <w:rPr/>
        <w:t xml:space="preserve">, </w:t>
      </w:r>
      <w:r>
        <w:rPr>
          <w:i/>
          <w:iCs/>
        </w:rPr>
        <w:t>ExhibitIndex_v1.docx</w:t>
      </w:r>
      <w:r>
        <w:rPr/>
        <w:t xml:space="preserve">, etc.). This preserves the history of our analysis. As new evidence emerges or as court actions occur, we will append updates rather than overwrite, creating an audit trail of how the case narrative evolved. For example, if after October 2025 there is a new hearing or an appellate decision, a new timeline entry with that date will be added in </w:t>
      </w:r>
      <w:r>
        <w:rPr>
          <w:b/>
          <w:bCs/>
        </w:rPr>
        <w:t>timeline_v2.json</w:t>
      </w:r>
      <w:r>
        <w:rPr/>
        <w:t>, and a corresponding update in the narrative (with version notes at the end of documents describing what changed). This ensures transparency and the ability to rollback if needed.</w:t>
      </w:r>
    </w:p>
    <w:p>
      <w:pPr>
        <w:pStyle w:val="BodyText"/>
        <w:rPr/>
      </w:pPr>
      <w:bookmarkStart w:id="19" w:name="content"/>
      <w:bookmarkStart w:id="20" w:name="Xdd20c35f2b088b7eb2c15061e605d9c1354c52d"/>
      <w:bookmarkStart w:id="21" w:name="Xfa7113932cefddf9e3ad4827dfdccc0915491a9"/>
      <w:bookmarkStart w:id="22" w:name="X3173632fac40cc8d475435a2f47fba382c31bcc"/>
      <w:r>
        <w:rPr/>
        <w:t>Finally, Andrew (the user of this research) can now take these structured outputs – the factual extraction, the mapped contradictions, the logged violations, the timeline, the exhibit set, and the strategy bundles – and deploy them in the appropriate forums: family court motions, appeals, tort lawsuits, and complaints to oversight bodies. The evidence strongly supports his position that the current custody/PPO orders were obtained through wrongdoing and must be rectified for the sake of justice and the child’s well-being.</w:t>
      </w:r>
      <w:bookmarkEnd w:id="19"/>
      <w:bookmarkEnd w:id="20"/>
      <w:bookmarkEnd w:id="21"/>
      <w:bookmarkEnd w:id="22"/>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hyperlink r:id="rId152">
        <w:bookmarkStart w:id="23" w:name="citations"/>
        <w:r>
          <w:rPr>
            <w:rStyle w:val="Hyperlink"/>
          </w:rPr>
          <w:t>[1]</w:t>
        </w:r>
      </w:hyperlink>
      <w:r>
        <w:rPr/>
        <w:t xml:space="preserve"> </w:t>
      </w:r>
      <w:hyperlink r:id="rId153">
        <w:r>
          <w:rPr>
            <w:rStyle w:val="Hyperlink"/>
          </w:rPr>
          <w:t>[3]</w:t>
        </w:r>
      </w:hyperlink>
      <w:r>
        <w:rPr/>
        <w:t xml:space="preserve"> </w:t>
      </w:r>
      <w:hyperlink r:id="rId154">
        <w:r>
          <w:rPr>
            <w:rStyle w:val="Hyperlink"/>
          </w:rPr>
          <w:t>[4]</w:t>
        </w:r>
      </w:hyperlink>
      <w:r>
        <w:rPr/>
        <w:t xml:space="preserve"> </w:t>
      </w:r>
      <w:hyperlink r:id="rId155">
        <w:r>
          <w:rPr>
            <w:rStyle w:val="Hyperlink"/>
          </w:rPr>
          <w:t>[10]</w:t>
        </w:r>
      </w:hyperlink>
      <w:r>
        <w:rPr/>
        <w:t xml:space="preserve"> </w:t>
      </w:r>
      <w:hyperlink r:id="rId156">
        <w:r>
          <w:rPr>
            <w:rStyle w:val="Hyperlink"/>
          </w:rPr>
          <w:t>[12]</w:t>
        </w:r>
      </w:hyperlink>
      <w:r>
        <w:rPr/>
        <w:t xml:space="preserve"> </w:t>
      </w:r>
      <w:hyperlink r:id="rId157">
        <w:r>
          <w:rPr>
            <w:rStyle w:val="Hyperlink"/>
          </w:rPr>
          <w:t>[14]</w:t>
        </w:r>
      </w:hyperlink>
      <w:r>
        <w:rPr/>
        <w:t xml:space="preserve"> </w:t>
      </w:r>
      <w:hyperlink r:id="rId158">
        <w:r>
          <w:rPr>
            <w:rStyle w:val="Hyperlink"/>
          </w:rPr>
          <w:t>[21]</w:t>
        </w:r>
      </w:hyperlink>
      <w:r>
        <w:rPr/>
        <w:t xml:space="preserve"> </w:t>
      </w:r>
      <w:hyperlink r:id="rId159">
        <w:r>
          <w:rPr>
            <w:rStyle w:val="Hyperlink"/>
          </w:rPr>
          <w:t>[23]</w:t>
        </w:r>
      </w:hyperlink>
      <w:r>
        <w:rPr/>
        <w:t xml:space="preserve"> </w:t>
      </w:r>
      <w:hyperlink r:id="rId160">
        <w:r>
          <w:rPr>
            <w:rStyle w:val="Hyperlink"/>
          </w:rPr>
          <w:t>[38]</w:t>
        </w:r>
      </w:hyperlink>
      <w:r>
        <w:rPr/>
        <w:t xml:space="preserve"> </w:t>
      </w:r>
      <w:hyperlink r:id="rId161">
        <w:r>
          <w:rPr>
            <w:rStyle w:val="Hyperlink"/>
          </w:rPr>
          <w:t>[67]</w:t>
        </w:r>
      </w:hyperlink>
      <w:r>
        <w:rPr/>
        <w:t xml:space="preserve"> </w:t>
      </w:r>
      <w:hyperlink r:id="rId162">
        <w:r>
          <w:rPr>
            <w:rStyle w:val="Hyperlink"/>
          </w:rPr>
          <w:t>[70]</w:t>
        </w:r>
      </w:hyperlink>
      <w:r>
        <w:rPr/>
        <w:t xml:space="preserve"> </w:t>
      </w:r>
      <w:hyperlink r:id="rId163">
        <w:r>
          <w:rPr>
            <w:rStyle w:val="Hyperlink"/>
          </w:rPr>
          <w:t>[71]</w:t>
        </w:r>
      </w:hyperlink>
      <w:r>
        <w:rPr/>
        <w:t xml:space="preserve"> </w:t>
      </w:r>
      <w:hyperlink r:id="rId164">
        <w:r>
          <w:rPr>
            <w:rStyle w:val="Hyperlink"/>
          </w:rPr>
          <w:t>[72]</w:t>
        </w:r>
      </w:hyperlink>
      <w:r>
        <w:rPr/>
        <w:t xml:space="preserve"> Guardian Ad Litem.pdf</w:t>
      </w:r>
    </w:p>
    <w:p>
      <w:pPr>
        <w:pStyle w:val="BodyText"/>
        <w:rPr/>
      </w:pPr>
      <w:hyperlink r:id="rId165">
        <w:r>
          <w:rPr>
            <w:rStyle w:val="Hyperlink"/>
          </w:rPr>
          <w:t>https://drive.google.com/file/d/1VB8i3a7k9apTl5ygm0miad2cwu1hjtDO</w:t>
        </w:r>
      </w:hyperlink>
    </w:p>
    <w:p>
      <w:pPr>
        <w:pStyle w:val="BodyText"/>
        <w:rPr/>
      </w:pPr>
      <w:hyperlink r:id="rId166">
        <w:r>
          <w:rPr>
            <w:rStyle w:val="Hyperlink"/>
          </w:rPr>
          <w:t>[2]</w:t>
        </w:r>
      </w:hyperlink>
      <w:r>
        <w:rPr/>
        <w:t xml:space="preserve"> </w:t>
      </w:r>
      <w:hyperlink r:id="rId167">
        <w:r>
          <w:rPr>
            <w:rStyle w:val="Hyperlink"/>
          </w:rPr>
          <w:t>[5]</w:t>
        </w:r>
      </w:hyperlink>
      <w:r>
        <w:rPr/>
        <w:t xml:space="preserve"> </w:t>
      </w:r>
      <w:hyperlink r:id="rId168">
        <w:r>
          <w:rPr>
            <w:rStyle w:val="Hyperlink"/>
          </w:rPr>
          <w:t>[11]</w:t>
        </w:r>
      </w:hyperlink>
      <w:r>
        <w:rPr/>
        <w:t xml:space="preserve"> </w:t>
      </w:r>
      <w:hyperlink r:id="rId169">
        <w:r>
          <w:rPr>
            <w:rStyle w:val="Hyperlink"/>
          </w:rPr>
          <w:t>[13]</w:t>
        </w:r>
      </w:hyperlink>
      <w:r>
        <w:rPr/>
        <w:t xml:space="preserve"> </w:t>
      </w:r>
      <w:hyperlink r:id="rId170">
        <w:r>
          <w:rPr>
            <w:rStyle w:val="Hyperlink"/>
          </w:rPr>
          <w:t>[15]</w:t>
        </w:r>
      </w:hyperlink>
      <w:r>
        <w:rPr/>
        <w:t xml:space="preserve"> </w:t>
      </w:r>
      <w:hyperlink r:id="rId171">
        <w:r>
          <w:rPr>
            <w:rStyle w:val="Hyperlink"/>
          </w:rPr>
          <w:t>[16]</w:t>
        </w:r>
      </w:hyperlink>
      <w:r>
        <w:rPr/>
        <w:t xml:space="preserve"> </w:t>
      </w:r>
      <w:hyperlink r:id="rId172">
        <w:r>
          <w:rPr>
            <w:rStyle w:val="Hyperlink"/>
          </w:rPr>
          <w:t>[18]</w:t>
        </w:r>
      </w:hyperlink>
      <w:r>
        <w:rPr/>
        <w:t xml:space="preserve"> </w:t>
      </w:r>
      <w:hyperlink r:id="rId173">
        <w:r>
          <w:rPr>
            <w:rStyle w:val="Hyperlink"/>
          </w:rPr>
          <w:t>[19]</w:t>
        </w:r>
      </w:hyperlink>
      <w:r>
        <w:rPr/>
        <w:t xml:space="preserve"> </w:t>
      </w:r>
      <w:hyperlink r:id="rId174">
        <w:r>
          <w:rPr>
            <w:rStyle w:val="Hyperlink"/>
          </w:rPr>
          <w:t>[22]</w:t>
        </w:r>
      </w:hyperlink>
      <w:r>
        <w:rPr/>
        <w:t xml:space="preserve"> </w:t>
      </w:r>
      <w:hyperlink r:id="rId175">
        <w:r>
          <w:rPr>
            <w:rStyle w:val="Hyperlink"/>
          </w:rPr>
          <w:t>[24]</w:t>
        </w:r>
      </w:hyperlink>
      <w:r>
        <w:rPr/>
        <w:t xml:space="preserve"> </w:t>
      </w:r>
      <w:hyperlink r:id="rId176">
        <w:r>
          <w:rPr>
            <w:rStyle w:val="Hyperlink"/>
          </w:rPr>
          <w:t>[25]</w:t>
        </w:r>
      </w:hyperlink>
      <w:r>
        <w:rPr/>
        <w:t xml:space="preserve"> </w:t>
      </w:r>
      <w:hyperlink r:id="rId177">
        <w:r>
          <w:rPr>
            <w:rStyle w:val="Hyperlink"/>
          </w:rPr>
          <w:t>[26]</w:t>
        </w:r>
      </w:hyperlink>
      <w:r>
        <w:rPr/>
        <w:t xml:space="preserve"> </w:t>
      </w:r>
      <w:hyperlink r:id="rId178">
        <w:r>
          <w:rPr>
            <w:rStyle w:val="Hyperlink"/>
          </w:rPr>
          <w:t>[27]</w:t>
        </w:r>
      </w:hyperlink>
      <w:r>
        <w:rPr/>
        <w:t xml:space="preserve"> </w:t>
      </w:r>
      <w:hyperlink r:id="rId179">
        <w:r>
          <w:rPr>
            <w:rStyle w:val="Hyperlink"/>
          </w:rPr>
          <w:t>[30]</w:t>
        </w:r>
      </w:hyperlink>
      <w:r>
        <w:rPr/>
        <w:t xml:space="preserve"> </w:t>
      </w:r>
      <w:hyperlink r:id="rId180">
        <w:r>
          <w:rPr>
            <w:rStyle w:val="Hyperlink"/>
          </w:rPr>
          <w:t>[31]</w:t>
        </w:r>
      </w:hyperlink>
      <w:r>
        <w:rPr/>
        <w:t xml:space="preserve"> </w:t>
      </w:r>
      <w:hyperlink r:id="rId181">
        <w:r>
          <w:rPr>
            <w:rStyle w:val="Hyperlink"/>
          </w:rPr>
          <w:t>[35]</w:t>
        </w:r>
      </w:hyperlink>
      <w:r>
        <w:rPr/>
        <w:t xml:space="preserve"> </w:t>
      </w:r>
      <w:hyperlink r:id="rId182">
        <w:r>
          <w:rPr>
            <w:rStyle w:val="Hyperlink"/>
          </w:rPr>
          <w:t>[36]</w:t>
        </w:r>
      </w:hyperlink>
      <w:r>
        <w:rPr/>
        <w:t xml:space="preserve"> </w:t>
      </w:r>
      <w:hyperlink r:id="rId183">
        <w:r>
          <w:rPr>
            <w:rStyle w:val="Hyperlink"/>
          </w:rPr>
          <w:t>[61]</w:t>
        </w:r>
      </w:hyperlink>
      <w:r>
        <w:rPr/>
        <w:t xml:space="preserve"> </w:t>
      </w:r>
      <w:hyperlink r:id="rId184">
        <w:r>
          <w:rPr>
            <w:rStyle w:val="Hyperlink"/>
          </w:rPr>
          <w:t>[65]</w:t>
        </w:r>
      </w:hyperlink>
      <w:r>
        <w:rPr/>
        <w:t xml:space="preserve"> </w:t>
      </w:r>
      <w:hyperlink r:id="rId185">
        <w:r>
          <w:rPr>
            <w:rStyle w:val="Hyperlink"/>
          </w:rPr>
          <w:t>[66]</w:t>
        </w:r>
      </w:hyperlink>
      <w:r>
        <w:rPr/>
        <w:t xml:space="preserve"> </w:t>
      </w:r>
      <w:hyperlink r:id="rId186">
        <w:r>
          <w:rPr>
            <w:rStyle w:val="Hyperlink"/>
          </w:rPr>
          <w:t>[68]</w:t>
        </w:r>
      </w:hyperlink>
      <w:r>
        <w:rPr/>
        <w:t xml:space="preserve"> </w:t>
      </w:r>
      <w:hyperlink r:id="rId187">
        <w:r>
          <w:rPr>
            <w:rStyle w:val="Hyperlink"/>
          </w:rPr>
          <w:t>[73]</w:t>
        </w:r>
      </w:hyperlink>
      <w:r>
        <w:rPr/>
        <w:t xml:space="preserve"> </w:t>
      </w:r>
      <w:hyperlink r:id="rId188">
        <w:r>
          <w:rPr>
            <w:rStyle w:val="Hyperlink"/>
          </w:rPr>
          <w:t>[75]</w:t>
        </w:r>
      </w:hyperlink>
      <w:r>
        <w:rPr/>
        <w:t xml:space="preserve"> </w:t>
      </w:r>
      <w:hyperlink r:id="rId189">
        <w:r>
          <w:rPr>
            <w:rStyle w:val="Hyperlink"/>
          </w:rPr>
          <w:t>[76]</w:t>
        </w:r>
      </w:hyperlink>
      <w:r>
        <w:rPr/>
        <w:t xml:space="preserve"> 2023_5907_pp The whole story.pdf</w:t>
      </w:r>
    </w:p>
    <w:p>
      <w:pPr>
        <w:pStyle w:val="BodyText"/>
        <w:rPr/>
      </w:pPr>
      <w:hyperlink r:id="rId190">
        <w:r>
          <w:rPr>
            <w:rStyle w:val="Hyperlink"/>
          </w:rPr>
          <w:t>https://drive.google.com/file/d/1-gsEtNSmLJ0412Rk66bjWiK8SADaECs2</w:t>
        </w:r>
      </w:hyperlink>
    </w:p>
    <w:p>
      <w:pPr>
        <w:pStyle w:val="BodyText"/>
        <w:rPr/>
      </w:pPr>
      <w:r>
        <w:fldChar w:fldCharType="begin"/>
      </w:r>
      <w:r>
        <w:rPr>
          <w:rStyle w:val="Hyperlink"/>
        </w:rPr>
        <w:instrText xml:space="preserve"> HYPERLINK "https://mail.google.com/mail/u/0/" \l "all/19740f355b677daa"</w:instrText>
      </w:r>
      <w:r>
        <w:rPr>
          <w:rStyle w:val="Hyperlink"/>
        </w:rPr>
        <w:fldChar w:fldCharType="separate"/>
      </w:r>
      <w:r>
        <w:rPr>
          <w:rStyle w:val="Hyperlink"/>
        </w:rPr>
        <w:t>[6]</w:t>
      </w:r>
      <w:r>
        <w:rPr>
          <w:rStyle w:val="Hyperlink"/>
        </w:rPr>
        <w:fldChar w:fldCharType="end"/>
      </w:r>
      <w:r>
        <w:rPr/>
        <w:t xml:space="preserve"> </w:t>
      </w:r>
      <w:r>
        <w:fldChar w:fldCharType="begin"/>
      </w:r>
      <w:r>
        <w:rPr>
          <w:rStyle w:val="Hyperlink"/>
        </w:rPr>
        <w:instrText xml:space="preserve"> HYPERLINK "https://mail.google.com/mail/u/0/" \l "all/1994e5c10775b3db"</w:instrText>
      </w:r>
      <w:r>
        <w:rPr>
          <w:rStyle w:val="Hyperlink"/>
        </w:rPr>
        <w:fldChar w:fldCharType="separate"/>
      </w:r>
      <w:r>
        <w:rPr>
          <w:rStyle w:val="Hyperlink"/>
        </w:rPr>
        <w:t>[7]</w:t>
      </w:r>
      <w:r>
        <w:rPr>
          <w:rStyle w:val="Hyperlink"/>
        </w:rPr>
        <w:fldChar w:fldCharType="end"/>
      </w:r>
      <w:r>
        <w:rPr/>
        <w:t xml:space="preserve"> </w:t>
      </w:r>
      <w:r>
        <w:fldChar w:fldCharType="begin"/>
      </w:r>
      <w:r>
        <w:rPr>
          <w:rStyle w:val="Hyperlink"/>
        </w:rPr>
        <w:instrText xml:space="preserve"> HYPERLINK "https://mail.google.com/mail/u/0/" \l "all/19740f355b677daa"</w:instrText>
      </w:r>
      <w:r>
        <w:rPr>
          <w:rStyle w:val="Hyperlink"/>
        </w:rPr>
        <w:fldChar w:fldCharType="separate"/>
      </w:r>
      <w:r>
        <w:rPr>
          <w:rStyle w:val="Hyperlink"/>
        </w:rPr>
        <w:t>[46]</w:t>
      </w:r>
      <w:r>
        <w:rPr>
          <w:rStyle w:val="Hyperlink"/>
        </w:rPr>
        <w:fldChar w:fldCharType="end"/>
      </w:r>
      <w:r>
        <w:rPr/>
        <w:t xml:space="preserve"> </w:t>
      </w:r>
      <w:r>
        <w:fldChar w:fldCharType="begin"/>
      </w:r>
      <w:r>
        <w:rPr>
          <w:rStyle w:val="Hyperlink"/>
        </w:rPr>
        <w:instrText xml:space="preserve"> HYPERLINK "https://mail.google.com/mail/u/0/" \l "all/19740f355b677daa"</w:instrText>
      </w:r>
      <w:r>
        <w:rPr>
          <w:rStyle w:val="Hyperlink"/>
        </w:rPr>
        <w:fldChar w:fldCharType="separate"/>
      </w:r>
      <w:r>
        <w:rPr>
          <w:rStyle w:val="Hyperlink"/>
        </w:rPr>
        <w:t>[47]</w:t>
      </w:r>
      <w:r>
        <w:rPr>
          <w:rStyle w:val="Hyperlink"/>
        </w:rPr>
        <w:fldChar w:fldCharType="end"/>
      </w:r>
      <w:r>
        <w:rPr/>
        <w:t xml:space="preserve"> </w:t>
      </w:r>
      <w:r>
        <w:fldChar w:fldCharType="begin"/>
      </w:r>
      <w:r>
        <w:rPr>
          <w:rStyle w:val="Hyperlink"/>
        </w:rPr>
        <w:instrText xml:space="preserve"> HYPERLINK "https://mail.google.com/mail/u/0/" \l "all/19740f355b677daa"</w:instrText>
      </w:r>
      <w:r>
        <w:rPr>
          <w:rStyle w:val="Hyperlink"/>
        </w:rPr>
        <w:fldChar w:fldCharType="separate"/>
      </w:r>
      <w:r>
        <w:rPr>
          <w:rStyle w:val="Hyperlink"/>
        </w:rPr>
        <w:t>[50]</w:t>
      </w:r>
      <w:r>
        <w:rPr>
          <w:rStyle w:val="Hyperlink"/>
        </w:rPr>
        <w:fldChar w:fldCharType="end"/>
      </w:r>
      <w:r>
        <w:rPr/>
        <w:t xml:space="preserve"> </w:t>
      </w:r>
      <w:r>
        <w:fldChar w:fldCharType="begin"/>
      </w:r>
      <w:r>
        <w:rPr>
          <w:rStyle w:val="Hyperlink"/>
        </w:rPr>
        <w:instrText xml:space="preserve"> HYPERLINK "https://mail.google.com/mail/u/0/" \l "all/19740f355b677daa"</w:instrText>
      </w:r>
      <w:r>
        <w:rPr>
          <w:rStyle w:val="Hyperlink"/>
        </w:rPr>
        <w:fldChar w:fldCharType="separate"/>
      </w:r>
      <w:r>
        <w:rPr>
          <w:rStyle w:val="Hyperlink"/>
        </w:rPr>
        <w:t>[62]</w:t>
      </w:r>
      <w:r>
        <w:rPr>
          <w:rStyle w:val="Hyperlink"/>
        </w:rPr>
        <w:fldChar w:fldCharType="end"/>
      </w:r>
      <w:r>
        <w:rPr/>
        <w:t xml:space="preserve"> </w:t>
      </w:r>
      <w:r>
        <w:fldChar w:fldCharType="begin"/>
      </w:r>
      <w:r>
        <w:rPr>
          <w:rStyle w:val="Hyperlink"/>
        </w:rPr>
        <w:instrText xml:space="preserve"> HYPERLINK "https://mail.google.com/mail/u/0/" \l "all/19740f355b677daa"</w:instrText>
      </w:r>
      <w:r>
        <w:rPr>
          <w:rStyle w:val="Hyperlink"/>
        </w:rPr>
        <w:fldChar w:fldCharType="separate"/>
      </w:r>
      <w:r>
        <w:rPr>
          <w:rStyle w:val="Hyperlink"/>
        </w:rPr>
        <w:t>[64]</w:t>
      </w:r>
      <w:r>
        <w:rPr>
          <w:rStyle w:val="Hyperlink"/>
        </w:rPr>
        <w:fldChar w:fldCharType="end"/>
      </w:r>
      <w:r>
        <w:rPr/>
        <w:t xml:space="preserve"> Andrew Pigors First Reply to submissions.</w:t>
      </w:r>
    </w:p>
    <w:p>
      <w:pPr>
        <w:pStyle w:val="BodyText"/>
        <w:rPr/>
      </w:pPr>
      <w:hyperlink r:id="rId191">
        <w:r>
          <w:rPr>
            <w:rStyle w:val="Hyperlink"/>
          </w:rPr>
          <w:t>https://mail.google.com/mail/u/0/</w:t>
        </w:r>
      </w:hyperlink>
    </w:p>
    <w:p>
      <w:pPr>
        <w:pStyle w:val="BodyText"/>
        <w:rPr/>
      </w:pPr>
      <w:hyperlink r:id="rId192">
        <w:r>
          <w:rPr>
            <w:rStyle w:val="Hyperlink"/>
          </w:rPr>
          <w:t>[8]</w:t>
        </w:r>
      </w:hyperlink>
      <w:r>
        <w:rPr/>
        <w:t xml:space="preserve"> </w:t>
      </w:r>
      <w:hyperlink r:id="rId193">
        <w:r>
          <w:rPr>
            <w:rStyle w:val="Hyperlink"/>
          </w:rPr>
          <w:t>[9]</w:t>
        </w:r>
      </w:hyperlink>
      <w:r>
        <w:rPr/>
        <w:t xml:space="preserve"> </w:t>
      </w:r>
      <w:hyperlink r:id="rId194">
        <w:r>
          <w:rPr>
            <w:rStyle w:val="Hyperlink"/>
          </w:rPr>
          <w:t>[20]</w:t>
        </w:r>
      </w:hyperlink>
      <w:r>
        <w:rPr/>
        <w:t xml:space="preserve"> </w:t>
      </w:r>
      <w:hyperlink r:id="rId195">
        <w:r>
          <w:rPr>
            <w:rStyle w:val="Hyperlink"/>
          </w:rPr>
          <w:t>[28]</w:t>
        </w:r>
      </w:hyperlink>
      <w:r>
        <w:rPr/>
        <w:t xml:space="preserve"> </w:t>
      </w:r>
      <w:hyperlink r:id="rId196">
        <w:r>
          <w:rPr>
            <w:rStyle w:val="Hyperlink"/>
          </w:rPr>
          <w:t>[29]</w:t>
        </w:r>
      </w:hyperlink>
      <w:r>
        <w:rPr/>
        <w:t xml:space="preserve"> </w:t>
      </w:r>
      <w:hyperlink r:id="rId197">
        <w:r>
          <w:rPr>
            <w:rStyle w:val="Hyperlink"/>
          </w:rPr>
          <w:t>[32]</w:t>
        </w:r>
      </w:hyperlink>
      <w:r>
        <w:rPr/>
        <w:t xml:space="preserve"> </w:t>
      </w:r>
      <w:hyperlink r:id="rId198">
        <w:r>
          <w:rPr>
            <w:rStyle w:val="Hyperlink"/>
          </w:rPr>
          <w:t>[34]</w:t>
        </w:r>
      </w:hyperlink>
      <w:r>
        <w:rPr/>
        <w:t xml:space="preserve"> </w:t>
      </w:r>
      <w:hyperlink r:id="rId199">
        <w:r>
          <w:rPr>
            <w:rStyle w:val="Hyperlink"/>
          </w:rPr>
          <w:t>[37]</w:t>
        </w:r>
      </w:hyperlink>
      <w:r>
        <w:rPr/>
        <w:t xml:space="preserve"> </w:t>
      </w:r>
      <w:hyperlink r:id="rId200">
        <w:r>
          <w:rPr>
            <w:rStyle w:val="Hyperlink"/>
          </w:rPr>
          <w:t>[39]</w:t>
        </w:r>
      </w:hyperlink>
      <w:r>
        <w:rPr/>
        <w:t xml:space="preserve"> </w:t>
      </w:r>
      <w:hyperlink r:id="rId201">
        <w:r>
          <w:rPr>
            <w:rStyle w:val="Hyperlink"/>
          </w:rPr>
          <w:t>[44]</w:t>
        </w:r>
      </w:hyperlink>
      <w:r>
        <w:rPr/>
        <w:t xml:space="preserve"> </w:t>
      </w:r>
      <w:hyperlink r:id="rId202">
        <w:r>
          <w:rPr>
            <w:rStyle w:val="Hyperlink"/>
          </w:rPr>
          <w:t>[45]</w:t>
        </w:r>
      </w:hyperlink>
      <w:r>
        <w:rPr/>
        <w:t xml:space="preserve"> </w:t>
      </w:r>
      <w:hyperlink r:id="rId203">
        <w:r>
          <w:rPr>
            <w:rStyle w:val="Hyperlink"/>
          </w:rPr>
          <w:t>[48]</w:t>
        </w:r>
      </w:hyperlink>
      <w:r>
        <w:rPr/>
        <w:t xml:space="preserve"> </w:t>
      </w:r>
      <w:hyperlink r:id="rId204">
        <w:r>
          <w:rPr>
            <w:rStyle w:val="Hyperlink"/>
          </w:rPr>
          <w:t>[49]</w:t>
        </w:r>
      </w:hyperlink>
      <w:r>
        <w:rPr/>
        <w:t xml:space="preserve"> </w:t>
      </w:r>
      <w:hyperlink r:id="rId205">
        <w:r>
          <w:rPr>
            <w:rStyle w:val="Hyperlink"/>
          </w:rPr>
          <w:t>[54]</w:t>
        </w:r>
      </w:hyperlink>
      <w:r>
        <w:rPr/>
        <w:t xml:space="preserve"> </w:t>
      </w:r>
      <w:hyperlink r:id="rId206">
        <w:r>
          <w:rPr>
            <w:rStyle w:val="Hyperlink"/>
          </w:rPr>
          <w:t>[57]</w:t>
        </w:r>
      </w:hyperlink>
      <w:r>
        <w:rPr/>
        <w:t xml:space="preserve"> </w:t>
      </w:r>
      <w:hyperlink r:id="rId207">
        <w:r>
          <w:rPr>
            <w:rStyle w:val="Hyperlink"/>
          </w:rPr>
          <w:t>[58]</w:t>
        </w:r>
      </w:hyperlink>
      <w:r>
        <w:rPr/>
        <w:t xml:space="preserve"> </w:t>
      </w:r>
      <w:hyperlink r:id="rId208">
        <w:r>
          <w:rPr>
            <w:rStyle w:val="Hyperlink"/>
          </w:rPr>
          <w:t>[59]</w:t>
        </w:r>
      </w:hyperlink>
      <w:r>
        <w:rPr/>
        <w:t xml:space="preserve"> </w:t>
      </w:r>
      <w:hyperlink r:id="rId209">
        <w:r>
          <w:rPr>
            <w:rStyle w:val="Hyperlink"/>
          </w:rPr>
          <w:t>[60]</w:t>
        </w:r>
      </w:hyperlink>
      <w:r>
        <w:rPr/>
        <w:t xml:space="preserve"> </w:t>
      </w:r>
      <w:hyperlink r:id="rId210">
        <w:r>
          <w:rPr>
            <w:rStyle w:val="Hyperlink"/>
          </w:rPr>
          <w:t>[74]</w:t>
        </w:r>
      </w:hyperlink>
      <w:r>
        <w:rPr/>
        <w:t xml:space="preserve"> Affidavit_of_Bias_v2.docx</w:t>
      </w:r>
    </w:p>
    <w:p>
      <w:pPr>
        <w:pStyle w:val="BodyText"/>
        <w:rPr/>
      </w:pPr>
      <w:hyperlink r:id="rId211">
        <w:r>
          <w:rPr>
            <w:rStyle w:val="Hyperlink"/>
          </w:rPr>
          <w:t>https://drive.google.com/file/d/13Bci4JOz6DJmRK3Bc6N_Yt5Nl2RshO5o</w:t>
        </w:r>
      </w:hyperlink>
    </w:p>
    <w:p>
      <w:pPr>
        <w:pStyle w:val="BodyText"/>
        <w:rPr/>
      </w:pPr>
      <w:hyperlink r:id="rId212">
        <w:r>
          <w:rPr>
            <w:rStyle w:val="Hyperlink"/>
          </w:rPr>
          <w:t>[17]</w:t>
        </w:r>
      </w:hyperlink>
      <w:r>
        <w:rPr/>
        <w:t xml:space="preserve"> </w:t>
      </w:r>
      <w:hyperlink r:id="rId213">
        <w:r>
          <w:rPr>
            <w:rStyle w:val="Hyperlink"/>
          </w:rPr>
          <w:t>[33]</w:t>
        </w:r>
      </w:hyperlink>
      <w:r>
        <w:rPr/>
        <w:t xml:space="preserve"> </w:t>
      </w:r>
      <w:hyperlink r:id="rId214">
        <w:r>
          <w:rPr>
            <w:rStyle w:val="Hyperlink"/>
          </w:rPr>
          <w:t>[40]</w:t>
        </w:r>
      </w:hyperlink>
      <w:r>
        <w:rPr/>
        <w:t xml:space="preserve"> </w:t>
      </w:r>
      <w:hyperlink r:id="rId215">
        <w:r>
          <w:rPr>
            <w:rStyle w:val="Hyperlink"/>
          </w:rPr>
          <w:t>[41]</w:t>
        </w:r>
      </w:hyperlink>
      <w:r>
        <w:rPr/>
        <w:t xml:space="preserve"> </w:t>
      </w:r>
      <w:hyperlink r:id="rId216">
        <w:r>
          <w:rPr>
            <w:rStyle w:val="Hyperlink"/>
          </w:rPr>
          <w:t>[42]</w:t>
        </w:r>
      </w:hyperlink>
      <w:r>
        <w:rPr/>
        <w:t xml:space="preserve"> </w:t>
      </w:r>
      <w:hyperlink r:id="rId217">
        <w:r>
          <w:rPr>
            <w:rStyle w:val="Hyperlink"/>
          </w:rPr>
          <w:t>[43]</w:t>
        </w:r>
      </w:hyperlink>
      <w:r>
        <w:rPr/>
        <w:t xml:space="preserve"> </w:t>
      </w:r>
      <w:hyperlink r:id="rId218">
        <w:r>
          <w:rPr>
            <w:rStyle w:val="Hyperlink"/>
          </w:rPr>
          <w:t>[51]</w:t>
        </w:r>
      </w:hyperlink>
      <w:r>
        <w:rPr/>
        <w:t xml:space="preserve"> </w:t>
      </w:r>
      <w:hyperlink r:id="rId219">
        <w:r>
          <w:rPr>
            <w:rStyle w:val="Hyperlink"/>
          </w:rPr>
          <w:t>[52]</w:t>
        </w:r>
      </w:hyperlink>
      <w:r>
        <w:rPr/>
        <w:t xml:space="preserve"> </w:t>
      </w:r>
      <w:hyperlink r:id="rId220">
        <w:r>
          <w:rPr>
            <w:rStyle w:val="Hyperlink"/>
          </w:rPr>
          <w:t>[53]</w:t>
        </w:r>
      </w:hyperlink>
      <w:r>
        <w:rPr/>
        <w:t xml:space="preserve"> </w:t>
      </w:r>
      <w:hyperlink r:id="rId221">
        <w:r>
          <w:rPr>
            <w:rStyle w:val="Hyperlink"/>
          </w:rPr>
          <w:t>[55]</w:t>
        </w:r>
      </w:hyperlink>
      <w:r>
        <w:rPr/>
        <w:t xml:space="preserve"> </w:t>
      </w:r>
      <w:hyperlink r:id="rId222">
        <w:r>
          <w:rPr>
            <w:rStyle w:val="Hyperlink"/>
          </w:rPr>
          <w:t>[56]</w:t>
        </w:r>
      </w:hyperlink>
      <w:r>
        <w:rPr/>
        <w:t xml:space="preserve"> </w:t>
      </w:r>
      <w:hyperlink r:id="rId223">
        <w:r>
          <w:rPr>
            <w:rStyle w:val="Hyperlink"/>
          </w:rPr>
          <w:t>[63]</w:t>
        </w:r>
      </w:hyperlink>
      <w:r>
        <w:rPr/>
        <w:t xml:space="preserve"> </w:t>
      </w:r>
      <w:hyperlink r:id="rId224">
        <w:r>
          <w:rPr>
            <w:rStyle w:val="Hyperlink"/>
          </w:rPr>
          <w:t>[69]</w:t>
        </w:r>
      </w:hyperlink>
      <w:r>
        <w:rPr/>
        <w:t xml:space="preserve"> disqualify judge.docx</w:t>
      </w:r>
    </w:p>
    <w:p>
      <w:pPr>
        <w:pStyle w:val="BodyText"/>
        <w:spacing w:before="180" w:after="180"/>
        <w:rPr/>
      </w:pPr>
      <w:hyperlink r:id="rId225">
        <w:bookmarkStart w:id="24" w:name="citations"/>
        <w:r>
          <w:rPr>
            <w:rStyle w:val="Hyperlink"/>
          </w:rPr>
          <w:t>https://drive.google.com/file/d/1PqC9DQ_K0H27njdMzgjnedLBFsTtzSia</w:t>
        </w:r>
      </w:hyperlink>
      <w:bookmarkEnd w:id="24"/>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rive.google.com/file/d/1VB8i3a7k9apTl5ygm0miad2cwu1hjtDO" TargetMode="External"/><Relationship Id="rId3" Type="http://schemas.openxmlformats.org/officeDocument/2006/relationships/hyperlink" Target="https://drive.google.com/file/d/1-gsEtNSmLJ0412Rk66bjWiK8SADaECs2" TargetMode="External"/><Relationship Id="rId4" Type="http://schemas.openxmlformats.org/officeDocument/2006/relationships/hyperlink" Target="https://drive.google.com/file/d/1VB8i3a7k9apTl5ygm0miad2cwu1hjtDO" TargetMode="External"/><Relationship Id="rId5" Type="http://schemas.openxmlformats.org/officeDocument/2006/relationships/hyperlink" Target="https://drive.google.com/file/d/1VB8i3a7k9apTl5ygm0miad2cwu1hjtDO" TargetMode="External"/><Relationship Id="rId6" Type="http://schemas.openxmlformats.org/officeDocument/2006/relationships/hyperlink" Target="https://drive.google.com/file/d/1-gsEtNSmLJ0412Rk66bjWiK8SADaECs2" TargetMode="External"/><Relationship Id="rId7" Type="http://schemas.openxmlformats.org/officeDocument/2006/relationships/hyperlink" Target="https://drive.google.com/file/d/13Bci4JOz6DJmRK3Bc6N_Yt5Nl2RshO5o" TargetMode="External"/><Relationship Id="rId8" Type="http://schemas.openxmlformats.org/officeDocument/2006/relationships/hyperlink" Target="https://drive.google.com/file/d/13Bci4JOz6DJmRK3Bc6N_Yt5Nl2RshO5o" TargetMode="External"/><Relationship Id="rId9" Type="http://schemas.openxmlformats.org/officeDocument/2006/relationships/hyperlink" Target="https://drive.google.com/file/d/1VB8i3a7k9apTl5ygm0miad2cwu1hjtDO" TargetMode="External"/><Relationship Id="rId10" Type="http://schemas.openxmlformats.org/officeDocument/2006/relationships/hyperlink" Target="https://drive.google.com/file/d/1-gsEtNSmLJ0412Rk66bjWiK8SADaECs2" TargetMode="External"/><Relationship Id="rId11" Type="http://schemas.openxmlformats.org/officeDocument/2006/relationships/hyperlink" Target="https://drive.google.com/file/d/1VB8i3a7k9apTl5ygm0miad2cwu1hjtDO" TargetMode="External"/><Relationship Id="rId12" Type="http://schemas.openxmlformats.org/officeDocument/2006/relationships/hyperlink" Target="https://drive.google.com/file/d/1-gsEtNSmLJ0412Rk66bjWiK8SADaECs2" TargetMode="External"/><Relationship Id="rId13" Type="http://schemas.openxmlformats.org/officeDocument/2006/relationships/hyperlink" Target="https://drive.google.com/file/d/1VB8i3a7k9apTl5ygm0miad2cwu1hjtDO" TargetMode="External"/><Relationship Id="rId14" Type="http://schemas.openxmlformats.org/officeDocument/2006/relationships/hyperlink" Target="https://drive.google.com/file/d/1-gsEtNSmLJ0412Rk66bjWiK8SADaECs2" TargetMode="External"/><Relationship Id="rId15" Type="http://schemas.openxmlformats.org/officeDocument/2006/relationships/hyperlink" Target="https://drive.google.com/file/d/1-gsEtNSmLJ0412Rk66bjWiK8SADaECs2" TargetMode="External"/><Relationship Id="rId16" Type="http://schemas.openxmlformats.org/officeDocument/2006/relationships/hyperlink" Target="https://drive.google.com/file/d/1VB8i3a7k9apTl5ygm0miad2cwu1hjtDO" TargetMode="External"/><Relationship Id="rId17" Type="http://schemas.openxmlformats.org/officeDocument/2006/relationships/hyperlink" Target="https://drive.google.com/file/d/1PqC9DQ_K0H27njdMzgjnedLBFsTtzSia" TargetMode="External"/><Relationship Id="rId18" Type="http://schemas.openxmlformats.org/officeDocument/2006/relationships/hyperlink" Target="https://drive.google.com/file/d/1-gsEtNSmLJ0412Rk66bjWiK8SADaECs2" TargetMode="External"/><Relationship Id="rId19" Type="http://schemas.openxmlformats.org/officeDocument/2006/relationships/hyperlink" Target="https://drive.google.com/file/d/1-gsEtNSmLJ0412Rk66bjWiK8SADaECs2" TargetMode="External"/><Relationship Id="rId20" Type="http://schemas.openxmlformats.org/officeDocument/2006/relationships/hyperlink" Target="https://drive.google.com/file/d/1-gsEtNSmLJ0412Rk66bjWiK8SADaECs2" TargetMode="External"/><Relationship Id="rId21" Type="http://schemas.openxmlformats.org/officeDocument/2006/relationships/hyperlink" Target="https://drive.google.com/file/d/13Bci4JOz6DJmRK3Bc6N_Yt5Nl2RshO5o" TargetMode="External"/><Relationship Id="rId22" Type="http://schemas.openxmlformats.org/officeDocument/2006/relationships/hyperlink" Target="https://drive.google.com/file/d/1VB8i3a7k9apTl5ygm0miad2cwu1hjtDO" TargetMode="External"/><Relationship Id="rId23" Type="http://schemas.openxmlformats.org/officeDocument/2006/relationships/hyperlink" Target="https://drive.google.com/file/d/1VB8i3a7k9apTl5ygm0miad2cwu1hjtDO" TargetMode="External"/><Relationship Id="rId24" Type="http://schemas.openxmlformats.org/officeDocument/2006/relationships/hyperlink" Target="https://drive.google.com/file/d/1-gsEtNSmLJ0412Rk66bjWiK8SADaECs2" TargetMode="External"/><Relationship Id="rId25" Type="http://schemas.openxmlformats.org/officeDocument/2006/relationships/hyperlink" Target="https://drive.google.com/file/d/1VB8i3a7k9apTl5ygm0miad2cwu1hjtDO" TargetMode="External"/><Relationship Id="rId26" Type="http://schemas.openxmlformats.org/officeDocument/2006/relationships/hyperlink" Target="https://drive.google.com/file/d/1-gsEtNSmLJ0412Rk66bjWiK8SADaECs2" TargetMode="External"/><Relationship Id="rId27" Type="http://schemas.openxmlformats.org/officeDocument/2006/relationships/hyperlink" Target="https://drive.google.com/file/d/1-gsEtNSmLJ0412Rk66bjWiK8SADaECs2" TargetMode="External"/><Relationship Id="rId28" Type="http://schemas.openxmlformats.org/officeDocument/2006/relationships/hyperlink" Target="https://drive.google.com/file/d/1-gsEtNSmLJ0412Rk66bjWiK8SADaECs2" TargetMode="External"/><Relationship Id="rId29" Type="http://schemas.openxmlformats.org/officeDocument/2006/relationships/hyperlink" Target="https://drive.google.com/file/d/1-gsEtNSmLJ0412Rk66bjWiK8SADaECs2" TargetMode="External"/><Relationship Id="rId30" Type="http://schemas.openxmlformats.org/officeDocument/2006/relationships/hyperlink" Target="https://drive.google.com/file/d/1-gsEtNSmLJ0412Rk66bjWiK8SADaECs2" TargetMode="External"/><Relationship Id="rId31" Type="http://schemas.openxmlformats.org/officeDocument/2006/relationships/hyperlink" Target="https://drive.google.com/file/d/1-gsEtNSmLJ0412Rk66bjWiK8SADaECs2" TargetMode="External"/><Relationship Id="rId32" Type="http://schemas.openxmlformats.org/officeDocument/2006/relationships/hyperlink" Target="https://drive.google.com/file/d/1VB8i3a7k9apTl5ygm0miad2cwu1hjtDO" TargetMode="External"/><Relationship Id="rId33" Type="http://schemas.openxmlformats.org/officeDocument/2006/relationships/hyperlink" Target="https://drive.google.com/file/d/1-gsEtNSmLJ0412Rk66bjWiK8SADaECs2" TargetMode="External"/><Relationship Id="rId34" Type="http://schemas.openxmlformats.org/officeDocument/2006/relationships/hyperlink" Target="https://drive.google.com/file/d/1VB8i3a7k9apTl5ygm0miad2cwu1hjtDO" TargetMode="External"/><Relationship Id="rId35" Type="http://schemas.openxmlformats.org/officeDocument/2006/relationships/hyperlink" Target="https://drive.google.com/file/d/1-gsEtNSmLJ0412Rk66bjWiK8SADaECs2" TargetMode="External"/><Relationship Id="rId36" Type="http://schemas.openxmlformats.org/officeDocument/2006/relationships/hyperlink" Target="https://drive.google.com/file/d/1-gsEtNSmLJ0412Rk66bjWiK8SADaECs2" TargetMode="External"/><Relationship Id="rId37" Type="http://schemas.openxmlformats.org/officeDocument/2006/relationships/hyperlink" Target="https://drive.google.com/file/d/1-gsEtNSmLJ0412Rk66bjWiK8SADaECs2" TargetMode="External"/><Relationship Id="rId38" Type="http://schemas.openxmlformats.org/officeDocument/2006/relationships/hyperlink" Target="https://drive.google.com/file/d/1-gsEtNSmLJ0412Rk66bjWiK8SADaECs2" TargetMode="External"/><Relationship Id="rId39" Type="http://schemas.openxmlformats.org/officeDocument/2006/relationships/hyperlink" Target="https://drive.google.com/file/d/1-gsEtNSmLJ0412Rk66bjWiK8SADaECs2" TargetMode="External"/><Relationship Id="rId40" Type="http://schemas.openxmlformats.org/officeDocument/2006/relationships/hyperlink" Target="https://drive.google.com/file/d/13Bci4JOz6DJmRK3Bc6N_Yt5Nl2RshO5o" TargetMode="External"/><Relationship Id="rId41" Type="http://schemas.openxmlformats.org/officeDocument/2006/relationships/hyperlink" Target="https://drive.google.com/file/d/13Bci4JOz6DJmRK3Bc6N_Yt5Nl2RshO5o" TargetMode="External"/><Relationship Id="rId42" Type="http://schemas.openxmlformats.org/officeDocument/2006/relationships/hyperlink" Target="https://drive.google.com/file/d/13Bci4JOz6DJmRK3Bc6N_Yt5Nl2RshO5o" TargetMode="External"/><Relationship Id="rId43" Type="http://schemas.openxmlformats.org/officeDocument/2006/relationships/hyperlink" Target="https://drive.google.com/file/d/13Bci4JOz6DJmRK3Bc6N_Yt5Nl2RshO5o" TargetMode="External"/><Relationship Id="rId44" Type="http://schemas.openxmlformats.org/officeDocument/2006/relationships/hyperlink" Target="https://drive.google.com/file/d/1-gsEtNSmLJ0412Rk66bjWiK8SADaECs2" TargetMode="External"/><Relationship Id="rId45" Type="http://schemas.openxmlformats.org/officeDocument/2006/relationships/hyperlink" Target="https://drive.google.com/file/d/1-gsEtNSmLJ0412Rk66bjWiK8SADaECs2" TargetMode="External"/><Relationship Id="rId46" Type="http://schemas.openxmlformats.org/officeDocument/2006/relationships/hyperlink" Target="https://drive.google.com/file/d/1-gsEtNSmLJ0412Rk66bjWiK8SADaECs2" TargetMode="External"/><Relationship Id="rId47" Type="http://schemas.openxmlformats.org/officeDocument/2006/relationships/hyperlink" Target="https://drive.google.com/file/d/13Bci4JOz6DJmRK3Bc6N_Yt5Nl2RshO5o" TargetMode="External"/><Relationship Id="rId48" Type="http://schemas.openxmlformats.org/officeDocument/2006/relationships/hyperlink" Target="https://drive.google.com/file/d/13Bci4JOz6DJmRK3Bc6N_Yt5Nl2RshO5o" TargetMode="External"/><Relationship Id="rId49" Type="http://schemas.openxmlformats.org/officeDocument/2006/relationships/hyperlink" Target="https://drive.google.com/file/d/1PqC9DQ_K0H27njdMzgjnedLBFsTtzSia" TargetMode="External"/><Relationship Id="rId50" Type="http://schemas.openxmlformats.org/officeDocument/2006/relationships/hyperlink" Target="https://drive.google.com/file/d/1PqC9DQ_K0H27njdMzgjnedLBFsTtzSia" TargetMode="External"/><Relationship Id="rId51" Type="http://schemas.openxmlformats.org/officeDocument/2006/relationships/hyperlink" Target="https://drive.google.com/file/d/13Bci4JOz6DJmRK3Bc6N_Yt5Nl2RshO5o" TargetMode="External"/><Relationship Id="rId52" Type="http://schemas.openxmlformats.org/officeDocument/2006/relationships/hyperlink" Target="https://drive.google.com/file/d/1-gsEtNSmLJ0412Rk66bjWiK8SADaECs2" TargetMode="External"/><Relationship Id="rId53" Type="http://schemas.openxmlformats.org/officeDocument/2006/relationships/hyperlink" Target="https://drive.google.com/file/d/1-gsEtNSmLJ0412Rk66bjWiK8SADaECs2" TargetMode="External"/><Relationship Id="rId54" Type="http://schemas.openxmlformats.org/officeDocument/2006/relationships/hyperlink" Target="https://drive.google.com/file/d/13Bci4JOz6DJmRK3Bc6N_Yt5Nl2RshO5o" TargetMode="External"/><Relationship Id="rId55" Type="http://schemas.openxmlformats.org/officeDocument/2006/relationships/hyperlink" Target="https://drive.google.com/file/d/13Bci4JOz6DJmRK3Bc6N_Yt5Nl2RshO5o" TargetMode="External"/><Relationship Id="rId56" Type="http://schemas.openxmlformats.org/officeDocument/2006/relationships/hyperlink" Target="https://drive.google.com/file/d/13Bci4JOz6DJmRK3Bc6N_Yt5Nl2RshO5o" TargetMode="External"/><Relationship Id="rId57" Type="http://schemas.openxmlformats.org/officeDocument/2006/relationships/hyperlink" Target="https://drive.google.com/file/d/1-gsEtNSmLJ0412Rk66bjWiK8SADaECs2" TargetMode="External"/><Relationship Id="rId58" Type="http://schemas.openxmlformats.org/officeDocument/2006/relationships/hyperlink" Target="https://drive.google.com/file/d/1-gsEtNSmLJ0412Rk66bjWiK8SADaECs2" TargetMode="External"/><Relationship Id="rId59" Type="http://schemas.openxmlformats.org/officeDocument/2006/relationships/hyperlink" Target="https://drive.google.com/file/d/1-gsEtNSmLJ0412Rk66bjWiK8SADaECs2" TargetMode="External"/><Relationship Id="rId60" Type="http://schemas.openxmlformats.org/officeDocument/2006/relationships/hyperlink" Target="https://drive.google.com/file/d/1-gsEtNSmLJ0412Rk66bjWiK8SADaECs2" TargetMode="External"/><Relationship Id="rId61" Type="http://schemas.openxmlformats.org/officeDocument/2006/relationships/hyperlink" Target="https://drive.google.com/file/d/1VB8i3a7k9apTl5ygm0miad2cwu1hjtDO" TargetMode="External"/><Relationship Id="rId62" Type="http://schemas.openxmlformats.org/officeDocument/2006/relationships/hyperlink" Target="https://drive.google.com/file/d/1PqC9DQ_K0H27njdMzgjnedLBFsTtzSia" TargetMode="External"/><Relationship Id="rId63" Type="http://schemas.openxmlformats.org/officeDocument/2006/relationships/hyperlink" Target="https://drive.google.com/file/d/13Bci4JOz6DJmRK3Bc6N_Yt5Nl2RshO5o" TargetMode="External"/><Relationship Id="rId64" Type="http://schemas.openxmlformats.org/officeDocument/2006/relationships/hyperlink" Target="https://drive.google.com/file/d/13Bci4JOz6DJmRK3Bc6N_Yt5Nl2RshO5o" TargetMode="External"/><Relationship Id="rId65" Type="http://schemas.openxmlformats.org/officeDocument/2006/relationships/hyperlink" Target="https://drive.google.com/file/d/13Bci4JOz6DJmRK3Bc6N_Yt5Nl2RshO5o" TargetMode="External"/><Relationship Id="rId66" Type="http://schemas.openxmlformats.org/officeDocument/2006/relationships/hyperlink" Target="https://drive.google.com/file/d/13Bci4JOz6DJmRK3Bc6N_Yt5Nl2RshO5o" TargetMode="External"/><Relationship Id="rId67" Type="http://schemas.openxmlformats.org/officeDocument/2006/relationships/hyperlink" Target="https://drive.google.com/file/d/1PqC9DQ_K0H27njdMzgjnedLBFsTtzSia" TargetMode="External"/><Relationship Id="rId68" Type="http://schemas.openxmlformats.org/officeDocument/2006/relationships/hyperlink" Target="https://drive.google.com/file/d/1PqC9DQ_K0H27njdMzgjnedLBFsTtzSia" TargetMode="External"/><Relationship Id="rId69" Type="http://schemas.openxmlformats.org/officeDocument/2006/relationships/hyperlink" Target="https://drive.google.com/file/d/1PqC9DQ_K0H27njdMzgjnedLBFsTtzSia" TargetMode="External"/><Relationship Id="rId70" Type="http://schemas.openxmlformats.org/officeDocument/2006/relationships/hyperlink" Target="https://drive.google.com/file/d/1PqC9DQ_K0H27njdMzgjnedLBFsTtzSia" TargetMode="External"/><Relationship Id="rId71" Type="http://schemas.openxmlformats.org/officeDocument/2006/relationships/hyperlink" Target="https://drive.google.com/file/d/1PqC9DQ_K0H27njdMzgjnedLBFsTtzSia" TargetMode="External"/><Relationship Id="rId72" Type="http://schemas.openxmlformats.org/officeDocument/2006/relationships/hyperlink" Target="https://drive.google.com/file/d/13Bci4JOz6DJmRK3Bc6N_Yt5Nl2RshO5o" TargetMode="External"/><Relationship Id="rId73" Type="http://schemas.openxmlformats.org/officeDocument/2006/relationships/hyperlink" Target="https://drive.google.com/file/d/13Bci4JOz6DJmRK3Bc6N_Yt5Nl2RshO5o" TargetMode="External"/><Relationship Id="rId74" Type="http://schemas.openxmlformats.org/officeDocument/2006/relationships/hyperlink" Target="https://drive.google.com/file/d/13Bci4JOz6DJmRK3Bc6N_Yt5Nl2RshO5o" TargetMode="External"/><Relationship Id="rId75" Type="http://schemas.openxmlformats.org/officeDocument/2006/relationships/hyperlink" Target="https://drive.google.com/file/d/13Bci4JOz6DJmRK3Bc6N_Yt5Nl2RshO5o" TargetMode="External"/><Relationship Id="rId76" Type="http://schemas.openxmlformats.org/officeDocument/2006/relationships/hyperlink" Target="https://drive.google.com/file/d/13Bci4JOz6DJmRK3Bc6N_Yt5Nl2RshO5o" TargetMode="External"/><Relationship Id="rId77" Type="http://schemas.openxmlformats.org/officeDocument/2006/relationships/hyperlink" Target="https://drive.google.com/file/d/1PqC9DQ_K0H27njdMzgjnedLBFsTtzSia" TargetMode="External"/><Relationship Id="rId78" Type="http://schemas.openxmlformats.org/officeDocument/2006/relationships/hyperlink" Target="https://drive.google.com/file/d/13Bci4JOz6DJmRK3Bc6N_Yt5Nl2RshO5o" TargetMode="External"/><Relationship Id="rId79" Type="http://schemas.openxmlformats.org/officeDocument/2006/relationships/hyperlink" Target="https://drive.google.com/file/d/13Bci4JOz6DJmRK3Bc6N_Yt5Nl2RshO5o" TargetMode="External"/><Relationship Id="rId80" Type="http://schemas.openxmlformats.org/officeDocument/2006/relationships/hyperlink" Target="https://drive.google.com/file/d/1PqC9DQ_K0H27njdMzgjnedLBFsTtzSia" TargetMode="External"/><Relationship Id="rId81" Type="http://schemas.openxmlformats.org/officeDocument/2006/relationships/hyperlink" Target="https://drive.google.com/file/d/1PqC9DQ_K0H27njdMzgjnedLBFsTtzSia" TargetMode="External"/><Relationship Id="rId82" Type="http://schemas.openxmlformats.org/officeDocument/2006/relationships/hyperlink" Target="https://drive.google.com/file/d/1PqC9DQ_K0H27njdMzgjnedLBFsTtzSia" TargetMode="External"/><Relationship Id="rId83" Type="http://schemas.openxmlformats.org/officeDocument/2006/relationships/hyperlink" Target="https://drive.google.com/file/d/13Bci4JOz6DJmRK3Bc6N_Yt5Nl2RshO5o" TargetMode="External"/><Relationship Id="rId84" Type="http://schemas.openxmlformats.org/officeDocument/2006/relationships/hyperlink" Target="https://drive.google.com/file/d/13Bci4JOz6DJmRK3Bc6N_Yt5Nl2RshO5o" TargetMode="External"/><Relationship Id="rId85" Type="http://schemas.openxmlformats.org/officeDocument/2006/relationships/hyperlink" Target="https://drive.google.com/file/d/1PqC9DQ_K0H27njdMzgjnedLBFsTtzSia" TargetMode="External"/><Relationship Id="rId86" Type="http://schemas.openxmlformats.org/officeDocument/2006/relationships/hyperlink" Target="https://drive.google.com/file/d/1PqC9DQ_K0H27njdMzgjnedLBFsTtzSia" TargetMode="External"/><Relationship Id="rId87" Type="http://schemas.openxmlformats.org/officeDocument/2006/relationships/hyperlink" Target="https://drive.google.com/file/d/1PqC9DQ_K0H27njdMzgjnedLBFsTtzSia" TargetMode="External"/><Relationship Id="rId88" Type="http://schemas.openxmlformats.org/officeDocument/2006/relationships/hyperlink" Target="https://drive.google.com/file/d/1PqC9DQ_K0H27njdMzgjnedLBFsTtzSia" TargetMode="External"/><Relationship Id="rId89" Type="http://schemas.openxmlformats.org/officeDocument/2006/relationships/hyperlink" Target="https://drive.google.com/file/d/13Bci4JOz6DJmRK3Bc6N_Yt5Nl2RshO5o" TargetMode="External"/><Relationship Id="rId90" Type="http://schemas.openxmlformats.org/officeDocument/2006/relationships/hyperlink" Target="https://drive.google.com/file/d/13Bci4JOz6DJmRK3Bc6N_Yt5Nl2RshO5o" TargetMode="External"/><Relationship Id="rId91" Type="http://schemas.openxmlformats.org/officeDocument/2006/relationships/hyperlink" Target="https://drive.google.com/file/d/13Bci4JOz6DJmRK3Bc6N_Yt5Nl2RshO5o" TargetMode="External"/><Relationship Id="rId92" Type="http://schemas.openxmlformats.org/officeDocument/2006/relationships/hyperlink" Target="https://drive.google.com/file/d/13Bci4JOz6DJmRK3Bc6N_Yt5Nl2RshO5o" TargetMode="External"/><Relationship Id="rId93" Type="http://schemas.openxmlformats.org/officeDocument/2006/relationships/hyperlink" Target="https://drive.google.com/file/d/13Bci4JOz6DJmRK3Bc6N_Yt5Nl2RshO5o" TargetMode="External"/><Relationship Id="rId94" Type="http://schemas.openxmlformats.org/officeDocument/2006/relationships/hyperlink" Target="https://drive.google.com/file/d/13Bci4JOz6DJmRK3Bc6N_Yt5Nl2RshO5o" TargetMode="External"/><Relationship Id="rId95" Type="http://schemas.openxmlformats.org/officeDocument/2006/relationships/hyperlink" Target="https://drive.google.com/file/d/1PqC9DQ_K0H27njdMzgjnedLBFsTtzSia" TargetMode="External"/><Relationship Id="rId96" Type="http://schemas.openxmlformats.org/officeDocument/2006/relationships/hyperlink" Target="https://drive.google.com/file/d/13Bci4JOz6DJmRK3Bc6N_Yt5Nl2RshO5o" TargetMode="External"/><Relationship Id="rId97" Type="http://schemas.openxmlformats.org/officeDocument/2006/relationships/hyperlink" Target="https://drive.google.com/file/d/1PqC9DQ_K0H27njdMzgjnedLBFsTtzSia" TargetMode="External"/><Relationship Id="rId98" Type="http://schemas.openxmlformats.org/officeDocument/2006/relationships/hyperlink" Target="https://drive.google.com/file/d/1PqC9DQ_K0H27njdMzgjnedLBFsTtzSia" TargetMode="External"/><Relationship Id="rId99" Type="http://schemas.openxmlformats.org/officeDocument/2006/relationships/hyperlink" Target="https://drive.google.com/file/d/1-gsEtNSmLJ0412Rk66bjWiK8SADaECs2" TargetMode="External"/><Relationship Id="rId100" Type="http://schemas.openxmlformats.org/officeDocument/2006/relationships/hyperlink" Target="https://drive.google.com/file/d/1-gsEtNSmLJ0412Rk66bjWiK8SADaECs2" TargetMode="External"/><Relationship Id="rId101" Type="http://schemas.openxmlformats.org/officeDocument/2006/relationships/hyperlink" Target="https://drive.google.com/file/d/1PqC9DQ_K0H27njdMzgjnedLBFsTtzSia" TargetMode="External"/><Relationship Id="rId102" Type="http://schemas.openxmlformats.org/officeDocument/2006/relationships/hyperlink" Target="https://drive.google.com/file/d/1VB8i3a7k9apTl5ygm0miad2cwu1hjtDO" TargetMode="External"/><Relationship Id="rId103" Type="http://schemas.openxmlformats.org/officeDocument/2006/relationships/hyperlink" Target="https://drive.google.com/file/d/1-gsEtNSmLJ0412Rk66bjWiK8SADaECs2" TargetMode="External"/><Relationship Id="rId104" Type="http://schemas.openxmlformats.org/officeDocument/2006/relationships/hyperlink" Target="https://drive.google.com/file/d/1-gsEtNSmLJ0412Rk66bjWiK8SADaECs2" TargetMode="External"/><Relationship Id="rId105" Type="http://schemas.openxmlformats.org/officeDocument/2006/relationships/hyperlink" Target="https://drive.google.com/file/d/1-gsEtNSmLJ0412Rk66bjWiK8SADaECs2" TargetMode="External"/><Relationship Id="rId106" Type="http://schemas.openxmlformats.org/officeDocument/2006/relationships/hyperlink" Target="https://drive.google.com/file/d/1-gsEtNSmLJ0412Rk66bjWiK8SADaECs2" TargetMode="External"/><Relationship Id="rId107" Type="http://schemas.openxmlformats.org/officeDocument/2006/relationships/hyperlink" Target="https://drive.google.com/file/d/1-gsEtNSmLJ0412Rk66bjWiK8SADaECs2" TargetMode="External"/><Relationship Id="rId108" Type="http://schemas.openxmlformats.org/officeDocument/2006/relationships/hyperlink" Target="https://drive.google.com/file/d/1-gsEtNSmLJ0412Rk66bjWiK8SADaECs2" TargetMode="External"/><Relationship Id="rId109" Type="http://schemas.openxmlformats.org/officeDocument/2006/relationships/hyperlink" Target="https://drive.google.com/file/d/1-gsEtNSmLJ0412Rk66bjWiK8SADaECs2" TargetMode="External"/><Relationship Id="rId110" Type="http://schemas.openxmlformats.org/officeDocument/2006/relationships/hyperlink" Target="https://drive.google.com/file/d/1-gsEtNSmLJ0412Rk66bjWiK8SADaECs2" TargetMode="External"/><Relationship Id="rId111" Type="http://schemas.openxmlformats.org/officeDocument/2006/relationships/hyperlink" Target="https://drive.google.com/file/d/13Bci4JOz6DJmRK3Bc6N_Yt5Nl2RshO5o" TargetMode="External"/><Relationship Id="rId112" Type="http://schemas.openxmlformats.org/officeDocument/2006/relationships/hyperlink" Target="https://drive.google.com/file/d/1-gsEtNSmLJ0412Rk66bjWiK8SADaECs2" TargetMode="External"/><Relationship Id="rId113" Type="http://schemas.openxmlformats.org/officeDocument/2006/relationships/hyperlink" Target="https://drive.google.com/file/d/1VB8i3a7k9apTl5ygm0miad2cwu1hjtDO" TargetMode="External"/><Relationship Id="rId114" Type="http://schemas.openxmlformats.org/officeDocument/2006/relationships/hyperlink" Target="https://drive.google.com/file/d/1PqC9DQ_K0H27njdMzgjnedLBFsTtzSia" TargetMode="External"/><Relationship Id="rId115" Type="http://schemas.openxmlformats.org/officeDocument/2006/relationships/hyperlink" Target="https://drive.google.com/file/d/1PqC9DQ_K0H27njdMzgjnedLBFsTtzSia" TargetMode="External"/><Relationship Id="rId116" Type="http://schemas.openxmlformats.org/officeDocument/2006/relationships/hyperlink" Target="https://drive.google.com/file/d/1PqC9DQ_K0H27njdMzgjnedLBFsTtzSia" TargetMode="External"/><Relationship Id="rId117" Type="http://schemas.openxmlformats.org/officeDocument/2006/relationships/hyperlink" Target="https://drive.google.com/file/d/1PqC9DQ_K0H27njdMzgjnedLBFsTtzSia" TargetMode="External"/><Relationship Id="rId118" Type="http://schemas.openxmlformats.org/officeDocument/2006/relationships/hyperlink" Target="https://drive.google.com/file/d/13Bci4JOz6DJmRK3Bc6N_Yt5Nl2RshO5o" TargetMode="External"/><Relationship Id="rId119" Type="http://schemas.openxmlformats.org/officeDocument/2006/relationships/hyperlink" Target="https://drive.google.com/file/d/13Bci4JOz6DJmRK3Bc6N_Yt5Nl2RshO5o" TargetMode="External"/><Relationship Id="rId120" Type="http://schemas.openxmlformats.org/officeDocument/2006/relationships/hyperlink" Target="https://drive.google.com/file/d/13Bci4JOz6DJmRK3Bc6N_Yt5Nl2RshO5o" TargetMode="External"/><Relationship Id="rId121" Type="http://schemas.openxmlformats.org/officeDocument/2006/relationships/hyperlink" Target="https://drive.google.com/file/d/13Bci4JOz6DJmRK3Bc6N_Yt5Nl2RshO5o" TargetMode="External"/><Relationship Id="rId122" Type="http://schemas.openxmlformats.org/officeDocument/2006/relationships/hyperlink" Target="https://drive.google.com/file/d/13Bci4JOz6DJmRK3Bc6N_Yt5Nl2RshO5o" TargetMode="External"/><Relationship Id="rId123" Type="http://schemas.openxmlformats.org/officeDocument/2006/relationships/hyperlink" Target="https://drive.google.com/file/d/1-gsEtNSmLJ0412Rk66bjWiK8SADaECs2" TargetMode="External"/><Relationship Id="rId124" Type="http://schemas.openxmlformats.org/officeDocument/2006/relationships/hyperlink" Target="https://drive.google.com/file/d/1VB8i3a7k9apTl5ygm0miad2cwu1hjtDO" TargetMode="External"/><Relationship Id="rId125" Type="http://schemas.openxmlformats.org/officeDocument/2006/relationships/hyperlink" Target="https://drive.google.com/file/d/1-gsEtNSmLJ0412Rk66bjWiK8SADaECs2" TargetMode="External"/><Relationship Id="rId126" Type="http://schemas.openxmlformats.org/officeDocument/2006/relationships/hyperlink" Target="https://drive.google.com/file/d/1VB8i3a7k9apTl5ygm0miad2cwu1hjtDO" TargetMode="External"/><Relationship Id="rId127" Type="http://schemas.openxmlformats.org/officeDocument/2006/relationships/hyperlink" Target="https://drive.google.com/file/d/1VB8i3a7k9apTl5ygm0miad2cwu1hjtDO" TargetMode="External"/><Relationship Id="rId128" Type="http://schemas.openxmlformats.org/officeDocument/2006/relationships/hyperlink" Target="https://drive.google.com/file/d/1VB8i3a7k9apTl5ygm0miad2cwu1hjtDO" TargetMode="External"/><Relationship Id="rId129" Type="http://schemas.openxmlformats.org/officeDocument/2006/relationships/hyperlink" Target="https://drive.google.com/file/d/1-gsEtNSmLJ0412Rk66bjWiK8SADaECs2" TargetMode="External"/><Relationship Id="rId130" Type="http://schemas.openxmlformats.org/officeDocument/2006/relationships/hyperlink" Target="https://drive.google.com/file/d/1-gsEtNSmLJ0412Rk66bjWiK8SADaECs2" TargetMode="External"/><Relationship Id="rId131" Type="http://schemas.openxmlformats.org/officeDocument/2006/relationships/hyperlink" Target="https://drive.google.com/file/d/1-gsEtNSmLJ0412Rk66bjWiK8SADaECs2" TargetMode="External"/><Relationship Id="rId132" Type="http://schemas.openxmlformats.org/officeDocument/2006/relationships/hyperlink" Target="https://drive.google.com/file/d/1VB8i3a7k9apTl5ygm0miad2cwu1hjtDO" TargetMode="External"/><Relationship Id="rId133" Type="http://schemas.openxmlformats.org/officeDocument/2006/relationships/hyperlink" Target="https://drive.google.com/file/d/1VB8i3a7k9apTl5ygm0miad2cwu1hjtDO" TargetMode="External"/><Relationship Id="rId134" Type="http://schemas.openxmlformats.org/officeDocument/2006/relationships/hyperlink" Target="https://drive.google.com/file/d/13Bci4JOz6DJmRK3Bc6N_Yt5Nl2RshO5o" TargetMode="External"/><Relationship Id="rId135" Type="http://schemas.openxmlformats.org/officeDocument/2006/relationships/hyperlink" Target="https://drive.google.com/file/d/1-gsEtNSmLJ0412Rk66bjWiK8SADaECs2" TargetMode="External"/><Relationship Id="rId136" Type="http://schemas.openxmlformats.org/officeDocument/2006/relationships/hyperlink" Target="https://drive.google.com/file/d/1-gsEtNSmLJ0412Rk66bjWiK8SADaECs2" TargetMode="External"/><Relationship Id="rId137" Type="http://schemas.openxmlformats.org/officeDocument/2006/relationships/hyperlink" Target="https://drive.google.com/file/d/1-gsEtNSmLJ0412Rk66bjWiK8SADaECs2" TargetMode="External"/><Relationship Id="rId138" Type="http://schemas.openxmlformats.org/officeDocument/2006/relationships/hyperlink" Target="https://drive.google.com/file/d/1PqC9DQ_K0H27njdMzgjnedLBFsTtzSia" TargetMode="External"/><Relationship Id="rId139" Type="http://schemas.openxmlformats.org/officeDocument/2006/relationships/hyperlink" Target="https://drive.google.com/file/d/13Bci4JOz6DJmRK3Bc6N_Yt5Nl2RshO5o" TargetMode="External"/><Relationship Id="rId140" Type="http://schemas.openxmlformats.org/officeDocument/2006/relationships/hyperlink" Target="https://drive.google.com/file/d/13Bci4JOz6DJmRK3Bc6N_Yt5Nl2RshO5o" TargetMode="External"/><Relationship Id="rId141" Type="http://schemas.openxmlformats.org/officeDocument/2006/relationships/hyperlink" Target="https://drive.google.com/file/d/13Bci4JOz6DJmRK3Bc6N_Yt5Nl2RshO5o" TargetMode="External"/><Relationship Id="rId142" Type="http://schemas.openxmlformats.org/officeDocument/2006/relationships/hyperlink" Target="https://drive.google.com/file/d/13Bci4JOz6DJmRK3Bc6N_Yt5Nl2RshO5o" TargetMode="External"/><Relationship Id="rId143" Type="http://schemas.openxmlformats.org/officeDocument/2006/relationships/hyperlink" Target="https://drive.google.com/file/d/13Bci4JOz6DJmRK3Bc6N_Yt5Nl2RshO5o" TargetMode="External"/><Relationship Id="rId144" Type="http://schemas.openxmlformats.org/officeDocument/2006/relationships/hyperlink" Target="https://drive.google.com/file/d/13Bci4JOz6DJmRK3Bc6N_Yt5Nl2RshO5o" TargetMode="External"/><Relationship Id="rId145" Type="http://schemas.openxmlformats.org/officeDocument/2006/relationships/hyperlink" Target="https://drive.google.com/file/d/1PqC9DQ_K0H27njdMzgjnedLBFsTtzSia" TargetMode="External"/><Relationship Id="rId146" Type="http://schemas.openxmlformats.org/officeDocument/2006/relationships/hyperlink" Target="https://drive.google.com/file/d/1-gsEtNSmLJ0412Rk66bjWiK8SADaECs2" TargetMode="External"/><Relationship Id="rId147" Type="http://schemas.openxmlformats.org/officeDocument/2006/relationships/hyperlink" Target="https://drive.google.com/file/d/1-gsEtNSmLJ0412Rk66bjWiK8SADaECs2" TargetMode="External"/><Relationship Id="rId148" Type="http://schemas.openxmlformats.org/officeDocument/2006/relationships/hyperlink" Target="https://drive.google.com/file/d/1-gsEtNSmLJ0412Rk66bjWiK8SADaECs2" TargetMode="External"/><Relationship Id="rId149" Type="http://schemas.openxmlformats.org/officeDocument/2006/relationships/hyperlink" Target="https://drive.google.com/file/d/1-gsEtNSmLJ0412Rk66bjWiK8SADaECs2" TargetMode="External"/><Relationship Id="rId150" Type="http://schemas.openxmlformats.org/officeDocument/2006/relationships/hyperlink" Target="https://drive.google.com/file/d/1-gsEtNSmLJ0412Rk66bjWiK8SADaECs2" TargetMode="External"/><Relationship Id="rId151" Type="http://schemas.openxmlformats.org/officeDocument/2006/relationships/hyperlink" Target="https://drive.google.com/file/d/1-gsEtNSmLJ0412Rk66bjWiK8SADaECs2" TargetMode="External"/><Relationship Id="rId152" Type="http://schemas.openxmlformats.org/officeDocument/2006/relationships/hyperlink" Target="https://drive.google.com/file/d/1VB8i3a7k9apTl5ygm0miad2cwu1hjtDO" TargetMode="External"/><Relationship Id="rId153" Type="http://schemas.openxmlformats.org/officeDocument/2006/relationships/hyperlink" Target="https://drive.google.com/file/d/1VB8i3a7k9apTl5ygm0miad2cwu1hjtDO" TargetMode="External"/><Relationship Id="rId154" Type="http://schemas.openxmlformats.org/officeDocument/2006/relationships/hyperlink" Target="https://drive.google.com/file/d/1VB8i3a7k9apTl5ygm0miad2cwu1hjtDO" TargetMode="External"/><Relationship Id="rId155" Type="http://schemas.openxmlformats.org/officeDocument/2006/relationships/hyperlink" Target="https://drive.google.com/file/d/1VB8i3a7k9apTl5ygm0miad2cwu1hjtDO" TargetMode="External"/><Relationship Id="rId156" Type="http://schemas.openxmlformats.org/officeDocument/2006/relationships/hyperlink" Target="https://drive.google.com/file/d/1VB8i3a7k9apTl5ygm0miad2cwu1hjtDO" TargetMode="External"/><Relationship Id="rId157" Type="http://schemas.openxmlformats.org/officeDocument/2006/relationships/hyperlink" Target="https://drive.google.com/file/d/1VB8i3a7k9apTl5ygm0miad2cwu1hjtDO" TargetMode="External"/><Relationship Id="rId158" Type="http://schemas.openxmlformats.org/officeDocument/2006/relationships/hyperlink" Target="https://drive.google.com/file/d/1VB8i3a7k9apTl5ygm0miad2cwu1hjtDO" TargetMode="External"/><Relationship Id="rId159" Type="http://schemas.openxmlformats.org/officeDocument/2006/relationships/hyperlink" Target="https://drive.google.com/file/d/1VB8i3a7k9apTl5ygm0miad2cwu1hjtDO" TargetMode="External"/><Relationship Id="rId160" Type="http://schemas.openxmlformats.org/officeDocument/2006/relationships/hyperlink" Target="https://drive.google.com/file/d/1VB8i3a7k9apTl5ygm0miad2cwu1hjtDO" TargetMode="External"/><Relationship Id="rId161" Type="http://schemas.openxmlformats.org/officeDocument/2006/relationships/hyperlink" Target="https://drive.google.com/file/d/1VB8i3a7k9apTl5ygm0miad2cwu1hjtDO" TargetMode="External"/><Relationship Id="rId162" Type="http://schemas.openxmlformats.org/officeDocument/2006/relationships/hyperlink" Target="https://drive.google.com/file/d/1VB8i3a7k9apTl5ygm0miad2cwu1hjtDO" TargetMode="External"/><Relationship Id="rId163" Type="http://schemas.openxmlformats.org/officeDocument/2006/relationships/hyperlink" Target="https://drive.google.com/file/d/1VB8i3a7k9apTl5ygm0miad2cwu1hjtDO" TargetMode="External"/><Relationship Id="rId164" Type="http://schemas.openxmlformats.org/officeDocument/2006/relationships/hyperlink" Target="https://drive.google.com/file/d/1VB8i3a7k9apTl5ygm0miad2cwu1hjtDO" TargetMode="External"/><Relationship Id="rId165" Type="http://schemas.openxmlformats.org/officeDocument/2006/relationships/hyperlink" Target="https://drive.google.com/file/d/1VB8i3a7k9apTl5ygm0miad2cwu1hjtDO" TargetMode="External"/><Relationship Id="rId166" Type="http://schemas.openxmlformats.org/officeDocument/2006/relationships/hyperlink" Target="https://drive.google.com/file/d/1-gsEtNSmLJ0412Rk66bjWiK8SADaECs2" TargetMode="External"/><Relationship Id="rId167" Type="http://schemas.openxmlformats.org/officeDocument/2006/relationships/hyperlink" Target="https://drive.google.com/file/d/1-gsEtNSmLJ0412Rk66bjWiK8SADaECs2" TargetMode="External"/><Relationship Id="rId168" Type="http://schemas.openxmlformats.org/officeDocument/2006/relationships/hyperlink" Target="https://drive.google.com/file/d/1-gsEtNSmLJ0412Rk66bjWiK8SADaECs2" TargetMode="External"/><Relationship Id="rId169" Type="http://schemas.openxmlformats.org/officeDocument/2006/relationships/hyperlink" Target="https://drive.google.com/file/d/1-gsEtNSmLJ0412Rk66bjWiK8SADaECs2" TargetMode="External"/><Relationship Id="rId170" Type="http://schemas.openxmlformats.org/officeDocument/2006/relationships/hyperlink" Target="https://drive.google.com/file/d/1-gsEtNSmLJ0412Rk66bjWiK8SADaECs2" TargetMode="External"/><Relationship Id="rId171" Type="http://schemas.openxmlformats.org/officeDocument/2006/relationships/hyperlink" Target="https://drive.google.com/file/d/1-gsEtNSmLJ0412Rk66bjWiK8SADaECs2" TargetMode="External"/><Relationship Id="rId172" Type="http://schemas.openxmlformats.org/officeDocument/2006/relationships/hyperlink" Target="https://drive.google.com/file/d/1-gsEtNSmLJ0412Rk66bjWiK8SADaECs2" TargetMode="External"/><Relationship Id="rId173" Type="http://schemas.openxmlformats.org/officeDocument/2006/relationships/hyperlink" Target="https://drive.google.com/file/d/1-gsEtNSmLJ0412Rk66bjWiK8SADaECs2" TargetMode="External"/><Relationship Id="rId174" Type="http://schemas.openxmlformats.org/officeDocument/2006/relationships/hyperlink" Target="https://drive.google.com/file/d/1-gsEtNSmLJ0412Rk66bjWiK8SADaECs2" TargetMode="External"/><Relationship Id="rId175" Type="http://schemas.openxmlformats.org/officeDocument/2006/relationships/hyperlink" Target="https://drive.google.com/file/d/1-gsEtNSmLJ0412Rk66bjWiK8SADaECs2" TargetMode="External"/><Relationship Id="rId176" Type="http://schemas.openxmlformats.org/officeDocument/2006/relationships/hyperlink" Target="https://drive.google.com/file/d/1-gsEtNSmLJ0412Rk66bjWiK8SADaECs2" TargetMode="External"/><Relationship Id="rId177" Type="http://schemas.openxmlformats.org/officeDocument/2006/relationships/hyperlink" Target="https://drive.google.com/file/d/1-gsEtNSmLJ0412Rk66bjWiK8SADaECs2" TargetMode="External"/><Relationship Id="rId178" Type="http://schemas.openxmlformats.org/officeDocument/2006/relationships/hyperlink" Target="https://drive.google.com/file/d/1-gsEtNSmLJ0412Rk66bjWiK8SADaECs2" TargetMode="External"/><Relationship Id="rId179" Type="http://schemas.openxmlformats.org/officeDocument/2006/relationships/hyperlink" Target="https://drive.google.com/file/d/1-gsEtNSmLJ0412Rk66bjWiK8SADaECs2" TargetMode="External"/><Relationship Id="rId180" Type="http://schemas.openxmlformats.org/officeDocument/2006/relationships/hyperlink" Target="https://drive.google.com/file/d/1-gsEtNSmLJ0412Rk66bjWiK8SADaECs2" TargetMode="External"/><Relationship Id="rId181" Type="http://schemas.openxmlformats.org/officeDocument/2006/relationships/hyperlink" Target="https://drive.google.com/file/d/1-gsEtNSmLJ0412Rk66bjWiK8SADaECs2" TargetMode="External"/><Relationship Id="rId182" Type="http://schemas.openxmlformats.org/officeDocument/2006/relationships/hyperlink" Target="https://drive.google.com/file/d/1-gsEtNSmLJ0412Rk66bjWiK8SADaECs2" TargetMode="External"/><Relationship Id="rId183" Type="http://schemas.openxmlformats.org/officeDocument/2006/relationships/hyperlink" Target="https://drive.google.com/file/d/1-gsEtNSmLJ0412Rk66bjWiK8SADaECs2" TargetMode="External"/><Relationship Id="rId184" Type="http://schemas.openxmlformats.org/officeDocument/2006/relationships/hyperlink" Target="https://drive.google.com/file/d/1-gsEtNSmLJ0412Rk66bjWiK8SADaECs2" TargetMode="External"/><Relationship Id="rId185" Type="http://schemas.openxmlformats.org/officeDocument/2006/relationships/hyperlink" Target="https://drive.google.com/file/d/1-gsEtNSmLJ0412Rk66bjWiK8SADaECs2" TargetMode="External"/><Relationship Id="rId186" Type="http://schemas.openxmlformats.org/officeDocument/2006/relationships/hyperlink" Target="https://drive.google.com/file/d/1-gsEtNSmLJ0412Rk66bjWiK8SADaECs2" TargetMode="External"/><Relationship Id="rId187" Type="http://schemas.openxmlformats.org/officeDocument/2006/relationships/hyperlink" Target="https://drive.google.com/file/d/1-gsEtNSmLJ0412Rk66bjWiK8SADaECs2" TargetMode="External"/><Relationship Id="rId188" Type="http://schemas.openxmlformats.org/officeDocument/2006/relationships/hyperlink" Target="https://drive.google.com/file/d/1-gsEtNSmLJ0412Rk66bjWiK8SADaECs2" TargetMode="External"/><Relationship Id="rId189" Type="http://schemas.openxmlformats.org/officeDocument/2006/relationships/hyperlink" Target="https://drive.google.com/file/d/1-gsEtNSmLJ0412Rk66bjWiK8SADaECs2" TargetMode="External"/><Relationship Id="rId190" Type="http://schemas.openxmlformats.org/officeDocument/2006/relationships/hyperlink" Target="https://drive.google.com/file/d/1-gsEtNSmLJ0412Rk66bjWiK8SADaECs2" TargetMode="External"/><Relationship Id="rId191" Type="http://schemas.openxmlformats.org/officeDocument/2006/relationships/hyperlink" Target="https://mail.google.com/mail/u/0/" TargetMode="External"/><Relationship Id="rId192" Type="http://schemas.openxmlformats.org/officeDocument/2006/relationships/hyperlink" Target="https://drive.google.com/file/d/13Bci4JOz6DJmRK3Bc6N_Yt5Nl2RshO5o" TargetMode="External"/><Relationship Id="rId193" Type="http://schemas.openxmlformats.org/officeDocument/2006/relationships/hyperlink" Target="https://drive.google.com/file/d/13Bci4JOz6DJmRK3Bc6N_Yt5Nl2RshO5o" TargetMode="External"/><Relationship Id="rId194" Type="http://schemas.openxmlformats.org/officeDocument/2006/relationships/hyperlink" Target="https://drive.google.com/file/d/13Bci4JOz6DJmRK3Bc6N_Yt5Nl2RshO5o" TargetMode="External"/><Relationship Id="rId195" Type="http://schemas.openxmlformats.org/officeDocument/2006/relationships/hyperlink" Target="https://drive.google.com/file/d/13Bci4JOz6DJmRK3Bc6N_Yt5Nl2RshO5o" TargetMode="External"/><Relationship Id="rId196" Type="http://schemas.openxmlformats.org/officeDocument/2006/relationships/hyperlink" Target="https://drive.google.com/file/d/13Bci4JOz6DJmRK3Bc6N_Yt5Nl2RshO5o" TargetMode="External"/><Relationship Id="rId197" Type="http://schemas.openxmlformats.org/officeDocument/2006/relationships/hyperlink" Target="https://drive.google.com/file/d/13Bci4JOz6DJmRK3Bc6N_Yt5Nl2RshO5o" TargetMode="External"/><Relationship Id="rId198" Type="http://schemas.openxmlformats.org/officeDocument/2006/relationships/hyperlink" Target="https://drive.google.com/file/d/13Bci4JOz6DJmRK3Bc6N_Yt5Nl2RshO5o" TargetMode="External"/><Relationship Id="rId199" Type="http://schemas.openxmlformats.org/officeDocument/2006/relationships/hyperlink" Target="https://drive.google.com/file/d/13Bci4JOz6DJmRK3Bc6N_Yt5Nl2RshO5o" TargetMode="External"/><Relationship Id="rId200" Type="http://schemas.openxmlformats.org/officeDocument/2006/relationships/hyperlink" Target="https://drive.google.com/file/d/13Bci4JOz6DJmRK3Bc6N_Yt5Nl2RshO5o" TargetMode="External"/><Relationship Id="rId201" Type="http://schemas.openxmlformats.org/officeDocument/2006/relationships/hyperlink" Target="https://drive.google.com/file/d/13Bci4JOz6DJmRK3Bc6N_Yt5Nl2RshO5o" TargetMode="External"/><Relationship Id="rId202" Type="http://schemas.openxmlformats.org/officeDocument/2006/relationships/hyperlink" Target="https://drive.google.com/file/d/13Bci4JOz6DJmRK3Bc6N_Yt5Nl2RshO5o" TargetMode="External"/><Relationship Id="rId203" Type="http://schemas.openxmlformats.org/officeDocument/2006/relationships/hyperlink" Target="https://drive.google.com/file/d/13Bci4JOz6DJmRK3Bc6N_Yt5Nl2RshO5o" TargetMode="External"/><Relationship Id="rId204" Type="http://schemas.openxmlformats.org/officeDocument/2006/relationships/hyperlink" Target="https://drive.google.com/file/d/13Bci4JOz6DJmRK3Bc6N_Yt5Nl2RshO5o" TargetMode="External"/><Relationship Id="rId205" Type="http://schemas.openxmlformats.org/officeDocument/2006/relationships/hyperlink" Target="https://drive.google.com/file/d/13Bci4JOz6DJmRK3Bc6N_Yt5Nl2RshO5o" TargetMode="External"/><Relationship Id="rId206" Type="http://schemas.openxmlformats.org/officeDocument/2006/relationships/hyperlink" Target="https://drive.google.com/file/d/13Bci4JOz6DJmRK3Bc6N_Yt5Nl2RshO5o" TargetMode="External"/><Relationship Id="rId207" Type="http://schemas.openxmlformats.org/officeDocument/2006/relationships/hyperlink" Target="https://drive.google.com/file/d/13Bci4JOz6DJmRK3Bc6N_Yt5Nl2RshO5o" TargetMode="External"/><Relationship Id="rId208" Type="http://schemas.openxmlformats.org/officeDocument/2006/relationships/hyperlink" Target="https://drive.google.com/file/d/13Bci4JOz6DJmRK3Bc6N_Yt5Nl2RshO5o" TargetMode="External"/><Relationship Id="rId209" Type="http://schemas.openxmlformats.org/officeDocument/2006/relationships/hyperlink" Target="https://drive.google.com/file/d/13Bci4JOz6DJmRK3Bc6N_Yt5Nl2RshO5o" TargetMode="External"/><Relationship Id="rId210" Type="http://schemas.openxmlformats.org/officeDocument/2006/relationships/hyperlink" Target="https://drive.google.com/file/d/13Bci4JOz6DJmRK3Bc6N_Yt5Nl2RshO5o" TargetMode="External"/><Relationship Id="rId211" Type="http://schemas.openxmlformats.org/officeDocument/2006/relationships/hyperlink" Target="https://drive.google.com/file/d/13Bci4JOz6DJmRK3Bc6N_Yt5Nl2RshO5o" TargetMode="External"/><Relationship Id="rId212" Type="http://schemas.openxmlformats.org/officeDocument/2006/relationships/hyperlink" Target="https://drive.google.com/file/d/1PqC9DQ_K0H27njdMzgjnedLBFsTtzSia" TargetMode="External"/><Relationship Id="rId213" Type="http://schemas.openxmlformats.org/officeDocument/2006/relationships/hyperlink" Target="https://drive.google.com/file/d/1PqC9DQ_K0H27njdMzgjnedLBFsTtzSia" TargetMode="External"/><Relationship Id="rId214" Type="http://schemas.openxmlformats.org/officeDocument/2006/relationships/hyperlink" Target="https://drive.google.com/file/d/1PqC9DQ_K0H27njdMzgjnedLBFsTtzSia" TargetMode="External"/><Relationship Id="rId215" Type="http://schemas.openxmlformats.org/officeDocument/2006/relationships/hyperlink" Target="https://drive.google.com/file/d/1PqC9DQ_K0H27njdMzgjnedLBFsTtzSia" TargetMode="External"/><Relationship Id="rId216" Type="http://schemas.openxmlformats.org/officeDocument/2006/relationships/hyperlink" Target="https://drive.google.com/file/d/1PqC9DQ_K0H27njdMzgjnedLBFsTtzSia" TargetMode="External"/><Relationship Id="rId217" Type="http://schemas.openxmlformats.org/officeDocument/2006/relationships/hyperlink" Target="https://drive.google.com/file/d/1PqC9DQ_K0H27njdMzgjnedLBFsTtzSia" TargetMode="External"/><Relationship Id="rId218" Type="http://schemas.openxmlformats.org/officeDocument/2006/relationships/hyperlink" Target="https://drive.google.com/file/d/1PqC9DQ_K0H27njdMzgjnedLBFsTtzSia" TargetMode="External"/><Relationship Id="rId219" Type="http://schemas.openxmlformats.org/officeDocument/2006/relationships/hyperlink" Target="https://drive.google.com/file/d/1PqC9DQ_K0H27njdMzgjnedLBFsTtzSia" TargetMode="External"/><Relationship Id="rId220" Type="http://schemas.openxmlformats.org/officeDocument/2006/relationships/hyperlink" Target="https://drive.google.com/file/d/1PqC9DQ_K0H27njdMzgjnedLBFsTtzSia" TargetMode="External"/><Relationship Id="rId221" Type="http://schemas.openxmlformats.org/officeDocument/2006/relationships/hyperlink" Target="https://drive.google.com/file/d/1PqC9DQ_K0H27njdMzgjnedLBFsTtzSia" TargetMode="External"/><Relationship Id="rId222" Type="http://schemas.openxmlformats.org/officeDocument/2006/relationships/hyperlink" Target="https://drive.google.com/file/d/1PqC9DQ_K0H27njdMzgjnedLBFsTtzSia" TargetMode="External"/><Relationship Id="rId223" Type="http://schemas.openxmlformats.org/officeDocument/2006/relationships/hyperlink" Target="https://drive.google.com/file/d/1PqC9DQ_K0H27njdMzgjnedLBFsTtzSia" TargetMode="External"/><Relationship Id="rId224" Type="http://schemas.openxmlformats.org/officeDocument/2006/relationships/hyperlink" Target="https://drive.google.com/file/d/1PqC9DQ_K0H27njdMzgjnedLBFsTtzSia" TargetMode="External"/><Relationship Id="rId225" Type="http://schemas.openxmlformats.org/officeDocument/2006/relationships/hyperlink" Target="https://drive.google.com/file/d/1PqC9DQ_K0H27njdMzgjnedLBFsTtzSia" TargetMode="External"/><Relationship Id="rId226" Type="http://schemas.openxmlformats.org/officeDocument/2006/relationships/numbering" Target="numbering.xml"/><Relationship Id="rId227" Type="http://schemas.openxmlformats.org/officeDocument/2006/relationships/fontTable" Target="fontTable.xml"/><Relationship Id="rId228" Type="http://schemas.openxmlformats.org/officeDocument/2006/relationships/settings" Target="settings.xml"/><Relationship Id="rId2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LibreOffice/25.8.1.1$Windows_X86_64 LibreOffice_project/54047653041915e595ad4e45cccea684809c77b5</Application>
  <AppVersion>15.0000</AppVersion>
  <Pages>28</Pages>
  <Words>12878</Words>
  <Characters>72640</Characters>
  <CharactersWithSpaces>85856</CharactersWithSpaces>
  <Paragraphs>149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2025-10-08T15:27:12Z</dcterms:created>
  <dc:creator/>
  <dc:description/>
  <dc:language>en</dc:language>
  <cp:lastModifiedBy/>
  <dcterms:modified xsi:type="dcterms:W3CDTF">2025-10-08T15:27:12Z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