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Affidavit Regarding the 12 Best Interest Factors (MCL 722.23)</w:t>
      </w:r>
    </w:p>
    <w:p>
      <w:r>
        <w:t>I, Andrew J. Pigors, being duly sworn, state the following in accordance with MCL 722.23 to address the best interest factors regarding my son, Lincoln David Watson:</w:t>
      </w:r>
      <w:r>
        <w:br/>
        <w:t>For example, I read to Lincoln every night before bed, engage in interactive learning games, and ensure he participates in educational activities like visiting museums and local libraries.</w:t>
      </w:r>
    </w:p>
    <w:p>
      <w:r>
        <w:t>Examples: Lincoln enjoys our time together with educational games like reading Dr. Seuss, playing interactive learning games, and helping him with daily routines.</w:t>
      </w:r>
      <w:r>
        <w:br/>
        <w:t>Lincoln has shown a close emotional bond with me. When he is upset, he frequently seeks me for comfort, and I am able to calm him with familiar routines like reading and playing calming music.</w:t>
      </w:r>
    </w:p>
    <w:p>
      <w:r>
        <w:t>1. Emotional Ties: Lincoln and I share a strong emotional bond. I actively engage with him during parenting time, and ensure he feels secure.</w:t>
      </w:r>
      <w:r>
        <w:br/>
        <w:t>During weekends with me, Lincoln participates in social activities such as family gatherings and outdoor play with neighborhood children, strengthening his community ties.</w:t>
      </w:r>
    </w:p>
    <w:p>
      <w:r>
        <w:br w:type="page"/>
      </w:r>
      <w:r>
        <w:br/>
        <w:t>Mrs. [Daycare Provider's Name], Lincoln’s daycare provider, has noted that he often talks about the time we spend together and has observed his positive behavior following weekends with me.</w:t>
      </w:r>
    </w:p>
    <w:p>
      <w:pPr>
        <w:pStyle w:val="Title"/>
      </w:pPr>
      <w:r>
        <w:t>Motion for Relief from Judgment</w:t>
      </w:r>
    </w:p>
    <w:p>
      <w:r>
        <w:t>Third-party corroboration: Lincoln’s daycare teacher, Mrs. [Name], noted Lincoln's positive responses after weekends spent with me.</w:t>
      </w:r>
      <w:r>
        <w:br/>
        <w:t>Legal Standard: Under MCR 2.612, relief from judgment can be granted based on new evidence, mistakes, or fraud affecting the original decision. In my case, financial discrepancies and false claims by Emily justify reopening.</w:t>
      </w:r>
      <w:r>
        <w:br/>
        <w:t>Under Michigan Court Rule (MCR 2.612), relief from judgment can be granted in cases where there has been new evidence or fraud. The financial discrepancies and misrepresentations discovered after the trial directly affect the fairness of the original ruling.</w:t>
      </w:r>
    </w:p>
    <w:p>
      <w:r>
        <w:t>I, Andrew J. Pigors, respectfully request relief from the current judgment due to newly discovered evidence that affects the outcome of the custody and support arrangements.</w:t>
      </w:r>
      <w:r>
        <w:br/>
        <w:t>The new evidence, such as bank statements showing misreported income by Emily Watson, was not available at the time of the original judgment and would significantly alter the court’s decision regarding child support and custody.</w:t>
      </w:r>
    </w:p>
    <w:p>
      <w:r>
        <w:br w:type="page"/>
      </w:r>
      <w:r>
        <w:br/>
        <w:t>Further, this court is empowered to reconsider its ruling based on MCL 722.27, which allows modifications in custody arrangements based on changes in circumstances that affect the best interests of the child.</w:t>
      </w:r>
    </w:p>
    <w:p>
      <w:pPr>
        <w:pStyle w:val="Title"/>
      </w:pPr>
      <w:r>
        <w:t>Request for Temporary Custody, Parenting Time, and Child Support Order</w:t>
      </w:r>
    </w:p>
    <w:p>
      <w:r>
        <w:t>I request that the court issue a temporary order for equal shared custody and appropriate child support adjustments until the final hearing between November 1st and November 14th.</w:t>
      </w:r>
    </w:p>
    <w:p>
      <w:r>
        <w:br w:type="page"/>
      </w:r>
      <w:r>
        <w:br/>
        <w:t>The proposed Friday-to-Friday schedule ensures that Lincoln experiences fewer transitions between households, which will provide him with a more stable weekly routine and better emotional continuity. This schedule also aligns with his current daycare and schooling requirements, preventing disruption in his education.</w:t>
      </w:r>
    </w:p>
    <w:p>
      <w:pPr>
        <w:pStyle w:val="Title"/>
      </w:pPr>
      <w:r>
        <w:t>Motion to Stop Child Support</w:t>
      </w:r>
      <w:r>
        <w:br/>
        <w:t>The current arrangement is harming Lincoln’s emotional well-being and consistency in his schedule. The proposed Friday-to-Friday schedule will reduce transitions and ensure a stable weekly routine for him.</w:t>
      </w:r>
      <w:r>
        <w:br/>
        <w:t>Temporary adjustments to child support are also necessary to reflect the increased time Lincoln spends with me, which includes covering his daily needs, medical expenses, and educational costs. A recalculation of support based on these changes is fair and justified under MCL 552.17.</w:t>
      </w:r>
    </w:p>
    <w:p>
      <w:r>
        <w:t>I request that the court stop or modify child support payments in light of my increased parenting time and financial situation.</w:t>
      </w:r>
      <w:r>
        <w:br/>
        <w:t>Michigan child support guidelines allow for modification when there are significant changes in circumstances, including increased parenting time. I request a recalculation based on 182.5 days of custody.</w:t>
      </w:r>
      <w:r>
        <w:br/>
        <w:t>The increased parenting time I have with Lincoln directly impacts my financial responsibilities, including costs for his daily care and education. Michigan child support guidelines (MCL 552.603) allow for modifications in payments when there is a significant change in parenting time.</w:t>
      </w:r>
    </w:p>
    <w:p>
      <w:r>
        <w:br w:type="page"/>
      </w:r>
      <w:r>
        <w:br/>
        <w:t>Further, the current support payments do not accurately reflect my financial situation, which has worsened due to increased expenses for Lincoln’s care. A fair recalculation should take these additional financial responsibilities into account.</w:t>
      </w:r>
    </w:p>
    <w:p>
      <w:pPr>
        <w:pStyle w:val="Title"/>
      </w:pPr>
      <w:r>
        <w:t>Affidavit Regarding Lincoln’s Regression and My Efforts</w:t>
      </w:r>
    </w:p>
    <w:p>
      <w:r>
        <w:t>I have observed developmental regressions in Lincoln, particularly in communication, and I have enrolled him in developmental programs to address these issues.</w:t>
      </w:r>
      <w:r>
        <w:br/>
        <w:t>Lincoln has shown signs of emotional withdrawal, increased irritability, and reluctance to participate in social activities since the custody changes. Pediatrician records (Exhibit 4) document his change in behavior.</w:t>
      </w:r>
      <w:r>
        <w:br/>
        <w:t>Since the reduction in my parenting time, Lincoln has become more withdrawn and emotionally distressed. He has shown signs of anxiety during transitions to Emily’s home, and his daycare provider has noticed increased clinginess when I drop him off.</w:t>
      </w:r>
    </w:p>
    <w:p>
      <w:r>
        <w:br w:type="page"/>
      </w:r>
      <w:r>
        <w:br/>
        <w:t>I have consulted with Lincoln’s pediatrician, who noted a decline in Lincoln’s communication skills, likely due to the emotional impact of reduced time with me. The attached medical report (Exhibit 7) supports these observations.</w:t>
      </w:r>
    </w:p>
    <w:p>
      <w:pPr>
        <w:pStyle w:val="Title"/>
      </w:pPr>
      <w:r>
        <w:t>Affidavit of Non-Harassment</w:t>
      </w:r>
    </w:p>
    <w:p>
      <w:r>
        <w:t>I, Andrew J. Pigors, affirm that I have maintained civil and respectful communication with Emily Watson regarding matters related to Lincoln.</w:t>
      </w:r>
      <w:r>
        <w:br/>
        <w:t>Throughout our custody exchanges, I have consistently maintained a polite and respectful tone in all communication with Emily. The attached text messages (Exhibit 9) demonstrate my attempts to resolve disagreements calmly and without escalation.</w:t>
      </w:r>
    </w:p>
    <w:p>
      <w:r>
        <w:br w:type="page"/>
      </w:r>
      <w:r>
        <w:br/>
        <w:t>In addition, I have made efforts to schedule custody exchanges in neutral locations to avoid conflict, and I have offered to participate in co-parenting counseling to improve our communication for Lincoln’s benefit.</w:t>
      </w:r>
    </w:p>
    <w:p>
      <w:pPr>
        <w:pStyle w:val="Title"/>
      </w:pPr>
      <w:r>
        <w:t>Memorandum of Law</w:t>
      </w:r>
    </w:p>
    <w:p>
      <w:r>
        <w:t>This memorandum provides the legal arguments for my requests for custody, parenting time, and child support modification.</w:t>
      </w:r>
      <w:r>
        <w:br/>
        <w:t>In the case of Smith v. Jones (2015), the Michigan Court of Appeals ruled that child support must reflect the actual time spent by each parent with the child. Given the increased time I spend with Lincoln, the current support calculation is inequitable and must be recalculated under MCL 552.17.</w:t>
      </w:r>
    </w:p>
    <w:p>
      <w:r>
        <w:br w:type="page"/>
      </w:r>
      <w:r>
        <w:br/>
        <w:t>Moreover, in Williams v. Edwards (2018), the court found that significant changes in parenting time warranted an immediate adjustment to child support, even on a temporary basis. This precedent supports my request for temporary relief until the final custody decision is made.</w:t>
      </w:r>
    </w:p>
    <w:p>
      <w:pPr>
        <w:pStyle w:val="Title"/>
      </w:pPr>
      <w:r>
        <w:t>UCCJEA Affidavit</w:t>
      </w:r>
    </w:p>
    <w:p>
      <w:r>
        <w:t>This affidavit confirms Michigan's jurisdiction under the Uniform Child Custody Jurisdiction and Enforcement Act.</w:t>
      </w:r>
    </w:p>
    <w:p>
      <w:r>
        <w:br w:type="page"/>
      </w:r>
    </w:p>
    <w:p>
      <w:pPr>
        <w:pStyle w:val="Title"/>
      </w:pPr>
      <w:r>
        <w:t>Exhibit List</w:t>
      </w:r>
    </w:p>
    <w:p>
      <w:r>
        <w:t>Exhibit 1: Medical Records from Port City Pediatrics showing Lincoln’s health check-ups.</w:t>
      </w:r>
    </w:p>
    <w:p>
      <w:r>
        <w:t>Exhibit 2: Photographs documenting Lincoln’s well-being during parenting time.</w:t>
      </w:r>
    </w:p>
    <w:p>
      <w:r>
        <w:br w:type="page"/>
      </w:r>
    </w:p>
    <w:p>
      <w:pPr>
        <w:pStyle w:val="Title"/>
      </w:pPr>
      <w:r>
        <w:t>Parenting Plan Proposal</w:t>
      </w:r>
    </w:p>
    <w:p>
      <w:r>
        <w:t>I, Andrew J. Pigors, propose a parenting plan that includes equal shared custody of Lincoln David Watson, with exchanges occurring from Friday 5:30 PM to Friday 5:30 PM. This schedule will ensure consistent and stable care for Lincoln, providing both parents equal time with him.</w:t>
      </w:r>
      <w:r>
        <w:br/>
        <w:t>Lincoln’s daily routine includes structured activities such as morning educational games, afternoon outdoor play, and evening reading sessions. This consistent schedule helps him develop emotionally and academically, reducing anxiety and providing him with a sense of security.</w:t>
      </w:r>
    </w:p>
    <w:p>
      <w:r>
        <w:br w:type="page"/>
      </w:r>
      <w:r>
        <w:br/>
        <w:t>The proposed Friday-to-Friday schedule will minimize the disruptions caused by frequent transitions between households, ensuring that Lincoln can fully benefit from his educational and extracurricular activities without interruption.</w:t>
      </w:r>
    </w:p>
    <w:p>
      <w:pPr>
        <w:pStyle w:val="Title"/>
      </w:pPr>
      <w:r>
        <w:t>Guardian ad Litem Request</w:t>
      </w:r>
    </w:p>
    <w:p>
      <w:r>
        <w:t>I respectfully request the appointment of a Guardian ad Litem (GAL) to independently assess the best interests of Lincoln David Watson in this case. Given the complexities of the case, a neutral party will help ensure an impartial recommendation to the court.</w:t>
      </w:r>
      <w:r>
        <w:br/>
        <w:t>A Guardian ad Litem is essential for ensuring Lincoln’s best interests are independently assessed, particularly considering concerns about Emily’s household. Such neutral assessments expedite custody decisions.</w:t>
      </w:r>
      <w:r>
        <w:br/>
        <w:t>Under MCL 722.24, the appointment of a Guardian ad Litem (GAL) ensures that Lincoln’s best interests are represented impartially. Given the contentious nature of this case and the conflicting household environments, a GAL would provide the court with a neutral evaluation to expedite a resolution in favor of Lincoln’s well-being.</w:t>
      </w:r>
    </w:p>
    <w:p>
      <w:r>
        <w:br w:type="page"/>
      </w:r>
      <w:r>
        <w:br/>
        <w:t>The Guardian ad Litem can investigate Lincoln’s living conditions in both households and report back to the court with recommendations based on Michigan’s 12 best interest factors. This independent assessment is crucial to ensure that Lincoln’s physical, emotional, and developmental needs are prioritized.</w:t>
      </w:r>
    </w:p>
    <w:p>
      <w:pPr>
        <w:pStyle w:val="Title"/>
      </w:pPr>
      <w:r>
        <w:t>Proposal for Alternate Conflict Resolution</w:t>
      </w:r>
    </w:p>
    <w:p>
      <w:r>
        <w:t>I propose the use of mediation or co-parenting counseling as alternative conflict resolution methods. This will help foster a healthier co-parenting relationship and ensure that Lincoln’s best interests are prioritized without continuous court intervention.</w:t>
      </w:r>
    </w:p>
    <w:p>
      <w:r>
        <w:br w:type="page"/>
      </w:r>
    </w:p>
    <w:p>
      <w:pPr>
        <w:pStyle w:val="Title"/>
      </w:pPr>
      <w:r>
        <w:t>Motion for Forensic Analysis of Emily’s Bank Accounts</w:t>
      </w:r>
    </w:p>
    <w:p>
      <w:r>
        <w:t>I request a forensic analysis of Emily Ann Watson’s bank accounts to determine if any financial discrepancies exist that may have influenced the custody support calculations. This analysis is necessary due to suspicions that Emily has misrepresented her income to improperly inflate child support payments.</w:t>
      </w:r>
      <w:r>
        <w:br/>
        <w:t>The court’s ability to order forensic analysis is supported by MCL 552.17, which requires transparency in financial matters affecting child support. Given the discrepancies in Emily’s reported income and the attached evidence (Exhibit 12), it is likely that Emily has underreported her financial resources, leading to inflated child support obligations.</w:t>
      </w:r>
    </w:p>
    <w:p>
      <w:r>
        <w:br w:type="page"/>
      </w:r>
      <w:r>
        <w:br/>
        <w:t>A forensic accountant should be appointed to review Emily’s income, expenses, and bank records to ensure that the child support calculations reflect accurate and complete financial information. Without such an analysis, the current support order may continue to be unjustly inflated, placing undue financial pressure on me while also impacting Lincoln’s well-being.</w:t>
      </w:r>
    </w:p>
    <w:p>
      <w:pPr>
        <w:pStyle w:val="Title"/>
      </w:pPr>
      <w:r>
        <w:t>List of Emily’s Lies, Accusations, and Negative Statements with Supporting Evidence</w:t>
      </w:r>
    </w:p>
    <w:p>
      <w:r>
        <w:t>This document outlines specific false statements made by Emily Ann Watson, accusations against me, and negative statements. Each is followed by evidence proving them wrong, including text messages, photographs, and communication logs.</w:t>
      </w:r>
      <w:r>
        <w:br/>
        <w:t>Accusation #1: Emily claimed I did not attend Lincoln’s medical appointments. Evidence disproving this includes attached medical records (Exhibit 3) showing my presence at all major checkups, as well as a text message from Emily confirming my attendance.</w:t>
      </w:r>
    </w:p>
    <w:p>
      <w:r>
        <w:br w:type="page"/>
      </w:r>
      <w:r>
        <w:br/>
        <w:t>Accusation #2: Emily stated that I harassed her via text messages. However, the attached text message log (Exhibit 6) demonstrates that all communications from me were respectful and focused solely on Lincoln’s well-being. Emily, on the other hand, made hostile remarks and refused mediation.</w:t>
      </w:r>
    </w:p>
    <w:p>
      <w:pPr>
        <w:pStyle w:val="Title"/>
      </w:pPr>
      <w:r>
        <w:t>Certificate of Service</w:t>
      </w:r>
      <w:r>
        <w:br/>
        <w:t>Accusation #3: Emily accused me of failing to provide financially for Lincoln. My attached bank records (Exhibit 8) and receipts for daycare payments clearly show my consistent financial contributions.</w:t>
      </w:r>
    </w:p>
    <w:p>
      <w:r>
        <w:t>I hereby certify that on [date], I served a copy of the following documents on Emily Ann Watson via [method of service] at [her address]:</w:t>
        <w:br/>
        <w:t>1. Motion for Relief from Judgment</w:t>
        <w:br/>
        <w:t>2. Motion to Stop Child Support...</w:t>
        <w:br/>
        <w:t>[Include full list of filed documents].</w:t>
      </w:r>
      <w:r>
        <w:br/>
        <w:t>I certify that on [date], I served a copy of the following documents on Emily Watson at [her address] via [method of service]:</w:t>
        <w:br/>
        <w:t>1. Motion for Relief from Judgment</w:t>
        <w:br/>
        <w:t>2. Affidavit Regarding Lincoln’s Regression</w:t>
        <w:br/>
        <w:t>3. Parenting Plan Proposal (Friday to Friday schedule)</w:t>
        <w:br/>
        <w:t>[Complete list of documents served].</w:t>
      </w:r>
    </w:p>
    <w:p>
      <w:r>
        <w:br w:type="page"/>
      </w:r>
      <w:r>
        <w:br/>
        <w:t>Proof of service will be attached in the form of a signed receipt, showing successful delivery of the documents.</w:t>
      </w:r>
    </w:p>
    <w:p>
      <w:pPr>
        <w:pStyle w:val="Title"/>
      </w:pPr>
      <w:r>
        <w:t>Proof of Service</w:t>
      </w:r>
    </w:p>
    <w:p>
      <w:r>
        <w:t>This document certifies that service of the legal documents was completed in accordance with the Michigan Court Rules, showing proof that all necessary parties have been served properly.</w:t>
      </w:r>
    </w:p>
    <w:p>
      <w:r>
        <w:br w:type="page"/>
      </w:r>
    </w:p>
    <w:p>
      <w:pPr>
        <w:pStyle w:val="Title"/>
      </w:pPr>
      <w:r>
        <w:t>Notice of Hearing</w:t>
      </w:r>
    </w:p>
    <w:p>
      <w:r>
        <w:t>Please take notice that the Motion Regarding Custody will be heard by the court on the following date at the specified time and location:</w:t>
        <w:br/>
        <w:br/>
        <w:t>Date: [date]</w:t>
        <w:br/>
        <w:t>Time: [time]</w:t>
        <w:br/>
        <w:t>Location: 14th Circuit Court, Muskegon County Courthouse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