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CUSTODY MOTION FOCUSING ON THE BEST INTERESTS OF LINCOLN DAVID WATSON</w:t>
      </w:r>
    </w:p>
    <w:p>
      <w:r>
        <w:t>STATE OF MICHIGAN</w:t>
        <w:br/>
        <w:t>IN THE 14th CIRCUIT COURT FOR MUSKEGON COUNTY</w:t>
        <w:br/>
        <w:t>Hon. Judge Jenny McNeill</w:t>
      </w:r>
    </w:p>
    <w:p>
      <w:r>
        <w:t>Andrew J. Pigors</w:t>
        <w:br/>
        <w:t>Plaintiff/Respondent</w:t>
        <w:br/>
        <w:t>1977 Whitehall Rd Trlr 17</w:t>
        <w:br/>
        <w:t>Muskegon, Michigan 49445</w:t>
        <w:br/>
        <w:t>231-903-5690</w:t>
      </w:r>
    </w:p>
    <w:p>
      <w:r>
        <w:t>v.</w:t>
        <w:br/>
        <w:t>Emily Watson</w:t>
        <w:br/>
        <w:t>Defendant/Petitioner</w:t>
        <w:br/>
        <w:t>2160 Garland Dr</w:t>
        <w:br/>
        <w:t>Norton Shores, Michigan 49441</w:t>
        <w:br/>
        <w:t>231-683-7107</w:t>
      </w:r>
    </w:p>
    <w:p>
      <w:r>
        <w:t>Case No.: 2024-001507-DC</w:t>
        <w:br/>
        <w:br/>
        <w:t>CUSTODY MOTION FOCUSING ON THE BEST INTERESTS OF LINCOLN DAVID WATSON</w:t>
      </w:r>
    </w:p>
    <w:p>
      <w:r>
        <w:t>Plaintiff, Andrew J. Pigors, respectfully moves this Court to reconsider its prior rulings regarding the custody and parenting arrangement of Lincoln David Watson, based on the best interests of the child as outlined in Michigan Compiled Laws (MCL) 722.23.This motion focuses on the 12 best interest factors, highlighting Plaintiff’s capacity to provide a loving, stable, and supportive environment for Lincoln, free from the harmful impact of misrepresentations and legal obstructions.</w:t>
      </w:r>
    </w:p>
    <w:p>
      <w:r>
        <w:t>1. Love, Affection, and Emotional Ties</w:t>
        <w:br/>
        <w:t>Lincoln has a deep emotional bond with Plaintiff, evidenced by the nurturing relationship they share. Plaintiff actively engages in Lincoln’s life, providing affection, care, and stability that fosters Lincoln’s emotional development. Lincoln’s affection towards Plaintiff is evident in their daily interactions, such as shared activities, reading, and spending quality time together.</w:t>
      </w:r>
    </w:p>
    <w:p>
      <w:r>
        <w:t>2. Capacity to Provide Love, Affection, and Guidance</w:t>
        <w:br/>
        <w:t>Plaintiff is fully committed to Lincoln’s upbringing, offering not only love and affection but also strong moral guidance. Plaintiff attends to Lincoln’s educational needs, ensuring that he is enrolled in activities that support his growth, such as reading sessions and developmental games. Plaintiff is also consistent in setting boundaries and providing guidance.</w:t>
      </w:r>
    </w:p>
    <w:p>
      <w:r>
        <w:t>3. Capacity to Provide Basic Necessities</w:t>
        <w:br/>
        <w:t>Plaintiff is financially stable, earning $19.86 per hour at Shape Corporation, with full benefits, including health and dental coverage for both himself and Lincoln. Plaintiff ensures that Lincoln has access to all necessary resources, including proper nutrition, clothing, and healthcare.</w:t>
      </w:r>
    </w:p>
    <w:p>
      <w:r>
        <w:t>4. Stability and Permanence of Family Unit</w:t>
        <w:br/>
        <w:t>Plaintiff provides Lincoln with a stable and permanent home environment. Plaintiff’s residence is climate-controlled, secure, and child-friendly, with a dedicated space for Lincoln, including toys, educational materials, and entertainment. Plaintiff’s consistent presence in Lincoln’s life has been a source of emotional security for Lincoln.</w:t>
      </w:r>
    </w:p>
    <w:p>
      <w:r>
        <w:t>5. Moral Fitness of the Parties</w:t>
        <w:br/>
        <w:t>Plaintiff is a morally fit and responsible parent. Plaintiff has no criminal record, maintains a strong work ethic, and upholds values of integrity and honesty in his personal and professional life.</w:t>
      </w:r>
    </w:p>
    <w:p>
      <w:r>
        <w:t>6. Mental and Physical Health of the Parties</w:t>
        <w:br/>
        <w:t>Plaintiff is in good mental and physical health, enabling him to actively participate in Lincoln’s upbringing. Plaintiff attends regular medical checkups and maintains a healthy lifestyle, ensuring his ability to provide continuous care for Lincoln.</w:t>
      </w:r>
    </w:p>
    <w:p>
      <w:r>
        <w:t>7. Home, School, and Community Record</w:t>
        <w:br/>
        <w:t>Plaintiff is actively involved in Lincoln’s early educational journey, regularly engaging in developmental activities that promote learning. Lincoln is also set to begin preschool, and Plaintiff is committed to ensuring Lincoln’s success in his educational environment.</w:t>
      </w:r>
    </w:p>
    <w:p>
      <w:r>
        <w:t>8. Willingness to Support Relationship with Other Parent</w:t>
        <w:br/>
        <w:t>Plaintiff has consistently shown willingness to cooperate in co-parenting and support Lincoln’s relationship with Defendant. However, the current PPO and Defendant’s misrepresentations have created unnecessary barriers. Plaintiff remains committed to facilitating Lincoln’s relationship with both parents, provided that the situation becomes conducive to Lincoln’s well-being.</w:t>
      </w:r>
    </w:p>
    <w:p>
      <w:r>
        <w:t>Respectfully submitted,</w:t>
        <w:br/>
        <w:t>Andrew J. Pigors</w:t>
        <w:br/>
        <w:t>1977 Whitehall Rd Trlr 17</w:t>
        <w:br/>
        <w:t>Muskegon, Michigan 49445</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