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ATTACHMENT TO MOTION FOR CUSTODY, PARENTING TIME, AND SUPPORT MODIFICATION</w:t>
      </w:r>
    </w:p>
    <w:p>
      <w:r>
        <w:t>Case No.: 2024-001507-DC</w:t>
      </w:r>
    </w:p>
    <w:p>
      <w:r>
        <w:t>Plaintiff: Andrew J. Pigors</w:t>
      </w:r>
    </w:p>
    <w:p>
      <w:r>
        <w:t>Defendant: Emily A. Watson</w:t>
      </w:r>
    </w:p>
    <w:p>
      <w:r>
        <w:t>Minor Child: Lincoln David Watson (DOB: 11/09/2022)</w:t>
      </w:r>
    </w:p>
    <w:p>
      <w:pPr>
        <w:pStyle w:val="Heading2"/>
      </w:pPr>
      <w:r>
        <w:t>5. Proper Cause or Change in Circumstances</w:t>
      </w:r>
    </w:p>
    <w:p>
      <w:r>
        <w:t>Since the entry of the last custody and parenting time order on July 17, 2024, multiple material changes in circumstances have occurred, including:</w:t>
        <w:br/>
        <w:t>- Defendant has willfully withheld parenting time on multiple occasions, including from March 26 to May 2, 2024, and again from April 6 to May 3, 2025.</w:t>
        <w:br/>
        <w:t>- Defendant has instructed the minor child to refer to another man as 'dad,' constituting parental alienation.</w:t>
        <w:br/>
        <w:t>- Defendant has refused to provide any medical, dental, or educational records or updates despite repeated requests.</w:t>
        <w:br/>
        <w:t>- Plaintiff was jailed on a contempt order arising from improper service, and has since filed a motion for relief from judgment, which remains undecided.</w:t>
        <w:br/>
        <w:t>- Defendant’s malicious use of PPOs and court filings has interfered with Plaintiff’s parenting time and caused instability for the child.</w:t>
        <w:br/>
        <w:t>These facts constitute proper cause and a significant change of circumstances under Vodvarka v. Grasmeyer, 259 Mich App 499 (2003).</w:t>
      </w:r>
    </w:p>
    <w:p>
      <w:pPr>
        <w:pStyle w:val="Heading2"/>
      </w:pPr>
      <w:r>
        <w:t>6. Best Interests of the Child – MCL 722.23 Factors</w:t>
      </w:r>
    </w:p>
    <w:p>
      <w:r>
        <w:t>The following factors under MCL 722.23 support modification of custody and parenting time:</w:t>
        <w:br/>
        <w:t>(a) Love, affection, and emotional ties: Plaintiff and child have an extremely strong bond.</w:t>
        <w:br/>
        <w:t>(b) Capacity to provide guidance: Plaintiff provides education, discipline, and emotional stability.</w:t>
        <w:br/>
        <w:t>(c) Capacity to provide necessities: Plaintiff maintains a suitable and stable home.</w:t>
        <w:br/>
        <w:t>(d) Stability of environment: Plaintiff offers routine and consistent care.</w:t>
        <w:br/>
        <w:t>(e) Permanence of family unit: Plaintiff's household is consistent, while Defendant introduces instability via third parties.</w:t>
        <w:br/>
        <w:t>(h) Willingness to foster parent-child relationship: Defendant continuously undermines Plaintiff’s role and discourages the child’s affection for Plaintiff.</w:t>
        <w:br/>
        <w:t>(j) Willful interference with parenting time: Defendant has committed repeated and prolonged denials without justification.</w:t>
        <w:br/>
        <w:t>(k) Domestic violence: Defendant has subjected the child to ongoing verbal conflict and alienation tactics.</w:t>
        <w:br/>
        <w:t>Together, these factors strongly favor modification in Plaintiff’s favor.</w:t>
      </w:r>
    </w:p>
    <w:p>
      <w:pPr>
        <w:pStyle w:val="Heading2"/>
      </w:pPr>
      <w:r>
        <w:t>7. Agreed Upon Custody/Parenting Time (Historical Agreement)</w:t>
      </w:r>
    </w:p>
    <w:p>
      <w:r>
        <w:t>From November 2023 to March 26, 2024, both parties adhered to an informal agreement of 50/50 custody with a week-on/week-off schedule. This agreement remained in effect until Defendant unilaterally disrupted the arrangement without court authorization, despite there being no formal order in place.</w:t>
      </w:r>
    </w:p>
    <w:p>
      <w:pPr>
        <w:pStyle w:val="Heading2"/>
      </w:pPr>
      <w:r>
        <w:t>8. Requested Court Orders</w:t>
      </w:r>
    </w:p>
    <w:p>
      <w:r>
        <w:t>Plaintiff respectfully requests the following relief:</w:t>
        <w:br/>
        <w:t>- Joint legal custody and 50/50 physical custody with a week-on/week-off rotation, exchanges at 5:30 PM Fridays.</w:t>
        <w:br/>
        <w:t>- Immediate award of make-up parenting time equal to three full weeks withheld (March 29–April 5, April 12–19, April 26–May 3).</w:t>
        <w:br/>
        <w:t>- A bar on unilateral changes to parenting time or custody by either parent.</w:t>
        <w:br/>
        <w:t>- Communication between the parties must occur only via AppClose.</w:t>
        <w:br/>
        <w:t>- Reinstate Plaintiff’s right to obtain medical, educational, and legal information concerning the minor child.</w:t>
      </w:r>
    </w:p>
    <w:p>
      <w:pPr>
        <w:pStyle w:val="Heading2"/>
      </w:pPr>
      <w:r>
        <w:t>Support Modifications – Changed Conditions</w:t>
      </w:r>
    </w:p>
    <w:p>
      <w:r>
        <w:t>- Defendant falsely included a child that is not mine in child support calculations.</w:t>
        <w:br/>
        <w:t>- Defendant’s employer covers 85% of her health insurance premium.</w:t>
        <w:br/>
        <w:t>- Plaintiff pays $88/week in child support and $95/week for insurance.</w:t>
        <w:br/>
        <w:t>- Defendant has refused to cooperate on child care subsidy disclosures.</w:t>
        <w:br/>
        <w:t>- Plaintiff seeks adjustment of support obligation to reflect shared custody, actual child care needs, and accurate income reporting.</w:t>
      </w:r>
    </w:p>
    <w:p>
      <w:pPr>
        <w:pStyle w:val="Heading2"/>
      </w:pPr>
      <w:r>
        <w:t>Support Agreement and Requested Order</w:t>
      </w:r>
    </w:p>
    <w:p>
      <w:r>
        <w:t>Plaintiff requests that the Court:</w:t>
        <w:br/>
        <w:t>- Modify support consistent with equal parenting time and remove any non-biological child from calculations.</w:t>
        <w:br/>
        <w:t>- Cap Plaintiff’s support at $50/month and eliminate insurance reimbursement due to duplicative coverage.</w:t>
        <w:br/>
        <w:t>- Order Defendant to disclose all health, daycare, and financial records related to the child.</w:t>
        <w:br/>
        <w:t>- Assign shared child care costs equitably or waive based on documented coverage and income disparity.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