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MEMORANDUM IN SUPPORT OF DISQUALIFICATION AND REASSIGNMENT (MCR 2.003(C))</w:t>
      </w:r>
    </w:p>
    <w:p>
      <w:r>
        <w:br/>
      </w:r>
    </w:p>
    <w:p>
      <w:r>
        <w:t>Standard. A judge must be disqualified if the judge is biased or prejudiced for or against a party, or when the judge’s impartiality might reasonably be questioned. MCR 2.003(C)(1). The test is objective—whether a reasonable, informed observer would question impartiality. See Caperton v A.T. Massey Coal Co., 556 US 868 (2009) (due process requires recusal when probability of actual bias is too high).</w:t>
      </w:r>
    </w:p>
    <w:p>
      <w:pPr>
        <w:pStyle w:val="Heading2"/>
      </w:pPr>
      <w:r>
        <w:t>Illustrative Record Examples (A–I)</w:t>
      </w:r>
    </w:p>
    <w:p>
      <w:pPr>
        <w:pStyle w:val="Heading2"/>
      </w:pPr>
      <w:r>
        <w:t>Application</w:t>
      </w:r>
    </w:p>
    <w:p>
      <w:r>
        <w:t>Under MCR 2.003(C), these objective circumstances—ex parte parenting-time suspension without the required findings and prompt review, aggressive use of show-cause orders in lieu of an evidentiary hearing, a PPO maintained without statutory footing, and docket-handling that obscures defense filings—create at least an appearance of partiality. Disqualification and reassignment are warranted to preserve public confidence and ensure lawful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