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Times New Roman" w:hAnsi="Times New Roman"/>
          <w:b w:val="false"/>
          <w:bCs w:val="false"/>
        </w:rPr>
      </w:pPr>
      <w:r>
        <w:rPr>
          <w:rStyle w:val="Strong"/>
          <w:rFonts w:ascii="Times New Roman" w:hAnsi="Times New Roman"/>
          <w:b w:val="false"/>
          <w:bCs w:val="false"/>
        </w:rPr>
        <w:t>STATE OF MICHIGAN</w:t>
        <w:br/>
        <w:t>IN THE 60TH DISTRICT COURT FOR THE COUNTY OF MUSKEGON</w:t>
        <w:br/>
        <w:t>Case No. 2025-25061626-LT</w:t>
        <w:br/>
        <w:t>Hon. Maria Ladas Hoopes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SHADY OAKS PARK MHP, LLC</w:t>
      </w:r>
      <w:r>
        <w:rPr>
          <w:rFonts w:ascii="Times New Roman" w:hAnsi="Times New Roman"/>
          <w:b w:val="false"/>
          <w:bCs w:val="false"/>
        </w:rPr>
        <w:t>,</w:t>
        <w:br/>
        <w:t>Plaintiff,</w:t>
        <w:br/>
        <w:t>-vs-</w:t>
        <w:br/>
      </w:r>
      <w:r>
        <w:rPr>
          <w:rStyle w:val="Strong"/>
          <w:rFonts w:ascii="Times New Roman" w:hAnsi="Times New Roman"/>
          <w:b w:val="false"/>
          <w:bCs w:val="false"/>
        </w:rPr>
        <w:t>ANDREW J. PIGORS</w:t>
      </w:r>
      <w:r>
        <w:rPr>
          <w:rFonts w:ascii="Times New Roman" w:hAnsi="Times New Roman"/>
          <w:b w:val="false"/>
          <w:bCs w:val="false"/>
        </w:rPr>
        <w:t>,</w:t>
        <w:br/>
        <w:t>Defendant.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EMERGENCY VERIFIED MOTION TO DENY REINSTATEMENT, STRIKE UNLAWFUL EVIDENCE, BAR ENTRY OF JUDGMENT, AND AWARD DAMAGES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NOW COMES</w:t>
      </w:r>
      <w:r>
        <w:rPr>
          <w:rFonts w:ascii="Times New Roman" w:hAnsi="Times New Roman"/>
          <w:b w:val="false"/>
          <w:bCs w:val="false"/>
        </w:rPr>
        <w:t xml:space="preserve"> Defendant, </w:t>
      </w:r>
      <w:r>
        <w:rPr>
          <w:rStyle w:val="Strong"/>
          <w:rFonts w:ascii="Times New Roman" w:hAnsi="Times New Roman"/>
          <w:b w:val="false"/>
          <w:bCs w:val="false"/>
        </w:rPr>
        <w:t>ANDREW J. PIGORS</w:t>
      </w:r>
      <w:r>
        <w:rPr>
          <w:rFonts w:ascii="Times New Roman" w:hAnsi="Times New Roman"/>
          <w:b w:val="false"/>
          <w:bCs w:val="false"/>
        </w:rPr>
        <w:t xml:space="preserve">, in </w:t>
      </w:r>
      <w:r>
        <w:rPr>
          <w:rStyle w:val="Emphasis"/>
          <w:rFonts w:ascii="Times New Roman" w:hAnsi="Times New Roman"/>
          <w:b w:val="false"/>
          <w:bCs w:val="false"/>
        </w:rPr>
        <w:t>propria persona</w:t>
      </w:r>
      <w:r>
        <w:rPr>
          <w:rFonts w:ascii="Times New Roman" w:hAnsi="Times New Roman"/>
          <w:b w:val="false"/>
          <w:bCs w:val="false"/>
        </w:rPr>
        <w:t xml:space="preserve">, pursuant to </w:t>
      </w:r>
      <w:r>
        <w:rPr>
          <w:rStyle w:val="Strong"/>
          <w:rFonts w:ascii="Times New Roman" w:hAnsi="Times New Roman"/>
          <w:b w:val="false"/>
          <w:bCs w:val="false"/>
        </w:rPr>
        <w:t>MCR 2.119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MCR 2.625(A)(1)</w:t>
      </w:r>
      <w:r>
        <w:rPr>
          <w:rFonts w:ascii="Times New Roman" w:hAnsi="Times New Roman"/>
          <w:b w:val="false"/>
          <w:bCs w:val="false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</w:rPr>
        <w:t>MCL 600.2591</w:t>
      </w:r>
      <w:r>
        <w:rPr>
          <w:rFonts w:ascii="Times New Roman" w:hAnsi="Times New Roman"/>
          <w:b w:val="false"/>
          <w:bCs w:val="false"/>
        </w:rPr>
        <w:t>, and respectfully moves this Honorable Court for entry of an order: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Denying any attempt by Plaintiff to reinstate this matter beyond the expiration of the statutory reinstatement deadline;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Striking </w:t>
      </w:r>
      <w:r>
        <w:rPr>
          <w:rStyle w:val="Strong"/>
          <w:rFonts w:ascii="Times New Roman" w:hAnsi="Times New Roman"/>
          <w:b w:val="false"/>
          <w:bCs w:val="false"/>
        </w:rPr>
        <w:t>Exhibit C</w:t>
      </w:r>
      <w:r>
        <w:rPr>
          <w:rFonts w:ascii="Times New Roman" w:hAnsi="Times New Roman"/>
          <w:b w:val="false"/>
          <w:bCs w:val="false"/>
        </w:rPr>
        <w:t xml:space="preserve"> from the record as procedurally and substantively defective;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Barring entry of any judgment or writ of restitution arising from untimely or unlawful documents; and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Awarding costs, sanctions, and damages as further detailed in the attached </w:t>
      </w:r>
      <w:r>
        <w:rPr>
          <w:rStyle w:val="Strong"/>
          <w:rFonts w:ascii="Times New Roman" w:hAnsi="Times New Roman"/>
          <w:b w:val="false"/>
          <w:bCs w:val="false"/>
        </w:rPr>
        <w:t>Verified Final Damages &amp; Cost Statement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In support thereof, Defendant states as follows: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I. BACKGROUND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On </w:t>
      </w:r>
      <w:r>
        <w:rPr>
          <w:rStyle w:val="Strong"/>
          <w:rFonts w:ascii="Times New Roman" w:hAnsi="Times New Roman"/>
          <w:b w:val="false"/>
          <w:bCs w:val="false"/>
        </w:rPr>
        <w:t>April 16, 2025</w:t>
      </w:r>
      <w:r>
        <w:rPr>
          <w:rFonts w:ascii="Times New Roman" w:hAnsi="Times New Roman"/>
          <w:b w:val="false"/>
          <w:bCs w:val="false"/>
        </w:rPr>
        <w:t xml:space="preserve">, this Court entered a </w:t>
      </w:r>
      <w:r>
        <w:rPr>
          <w:rStyle w:val="Strong"/>
          <w:rFonts w:ascii="Times New Roman" w:hAnsi="Times New Roman"/>
          <w:b w:val="false"/>
          <w:bCs w:val="false"/>
        </w:rPr>
        <w:t>conditional dismissal</w:t>
      </w:r>
      <w:r>
        <w:rPr>
          <w:rFonts w:ascii="Times New Roman" w:hAnsi="Times New Roman"/>
          <w:b w:val="false"/>
          <w:bCs w:val="false"/>
        </w:rPr>
        <w:t xml:space="preserve"> of the above-captioned landlord-tenant case pursuant to </w:t>
      </w: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Under </w:t>
      </w: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 xml:space="preserve">, Plaintiff had </w:t>
      </w:r>
      <w:r>
        <w:rPr>
          <w:rStyle w:val="Strong"/>
          <w:rFonts w:ascii="Times New Roman" w:hAnsi="Times New Roman"/>
          <w:b w:val="false"/>
          <w:bCs w:val="false"/>
        </w:rPr>
        <w:t>twenty-one (21) days</w:t>
      </w:r>
      <w:r>
        <w:rPr>
          <w:rFonts w:ascii="Times New Roman" w:hAnsi="Times New Roman"/>
          <w:b w:val="false"/>
          <w:bCs w:val="false"/>
        </w:rPr>
        <w:t xml:space="preserve"> to reinstate the matter by filing a verified affidavit of default and/or motion for reinstatement. That statutory deadline </w:t>
      </w:r>
      <w:r>
        <w:rPr>
          <w:rStyle w:val="Strong"/>
          <w:rFonts w:ascii="Times New Roman" w:hAnsi="Times New Roman"/>
          <w:b w:val="false"/>
          <w:bCs w:val="false"/>
        </w:rPr>
        <w:t>expired at 11:59 PM on May 8, 2025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As of the time of this filing (</w:t>
      </w:r>
      <w:r>
        <w:rPr>
          <w:rStyle w:val="Strong"/>
          <w:rFonts w:ascii="Times New Roman" w:hAnsi="Times New Roman"/>
          <w:b w:val="false"/>
          <w:bCs w:val="false"/>
        </w:rPr>
        <w:t>May 8, 2025, at 10:30 AM</w:t>
      </w:r>
      <w:r>
        <w:rPr>
          <w:rFonts w:ascii="Times New Roman" w:hAnsi="Times New Roman"/>
          <w:b w:val="false"/>
          <w:bCs w:val="false"/>
        </w:rPr>
        <w:t xml:space="preserve">), </w:t>
      </w:r>
      <w:r>
        <w:rPr>
          <w:rStyle w:val="Strong"/>
          <w:rFonts w:ascii="Times New Roman" w:hAnsi="Times New Roman"/>
          <w:b w:val="false"/>
          <w:bCs w:val="false"/>
        </w:rPr>
        <w:t>no affidavit, motion, or valid request to reinstate</w:t>
      </w:r>
      <w:r>
        <w:rPr>
          <w:rFonts w:ascii="Times New Roman" w:hAnsi="Times New Roman"/>
          <w:b w:val="false"/>
          <w:bCs w:val="false"/>
        </w:rPr>
        <w:t xml:space="preserve"> has been filed, nor has any certificate of service or proof of compliance with the conditional dismissal been entered into the record.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II. LEGAL STANDARD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 xml:space="preserve"> governs conditional dismissals and specifies that if reinstatement is not sought within the permitted timeframe, the dismissal becomes final by operation of law.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 xml:space="preserve"> provides that reinstatement in landlord-tenant matters </w:t>
      </w:r>
      <w:r>
        <w:rPr>
          <w:rStyle w:val="Strong"/>
          <w:rFonts w:ascii="Times New Roman" w:hAnsi="Times New Roman"/>
          <w:b w:val="false"/>
          <w:bCs w:val="false"/>
        </w:rPr>
        <w:t>requires timely filing</w:t>
      </w:r>
      <w:r>
        <w:rPr>
          <w:rFonts w:ascii="Times New Roman" w:hAnsi="Times New Roman"/>
          <w:b w:val="false"/>
          <w:bCs w:val="false"/>
        </w:rPr>
        <w:t xml:space="preserve"> of an affidavit of default. Untimely or deficient filings divest this Court of further jurisdiction.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</w:t>
      </w:r>
      <w:r>
        <w:rPr>
          <w:rStyle w:val="Strong"/>
          <w:rFonts w:ascii="Times New Roman" w:hAnsi="Times New Roman"/>
          <w:b w:val="false"/>
          <w:bCs w:val="false"/>
        </w:rPr>
        <w:t>Michigan Constitution, Article 1, § 17</w:t>
      </w:r>
      <w:r>
        <w:rPr>
          <w:rFonts w:ascii="Times New Roman" w:hAnsi="Times New Roman"/>
          <w:b w:val="false"/>
          <w:bCs w:val="false"/>
        </w:rPr>
        <w:t xml:space="preserve">, protects the right to </w:t>
      </w:r>
      <w:r>
        <w:rPr>
          <w:rStyle w:val="Strong"/>
          <w:rFonts w:ascii="Times New Roman" w:hAnsi="Times New Roman"/>
          <w:b w:val="false"/>
          <w:bCs w:val="false"/>
        </w:rPr>
        <w:t>due process</w:t>
      </w:r>
      <w:r>
        <w:rPr>
          <w:rFonts w:ascii="Times New Roman" w:hAnsi="Times New Roman"/>
          <w:b w:val="false"/>
          <w:bCs w:val="false"/>
        </w:rPr>
        <w:t>. Permitting reinstatement beyond the jurisdictional window would deprive Defendant of finality and procedural fairness.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III. FACTUAL BASIS FOR DENIAL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Plaintiff has failed to comply with the 21-day deadline under MCR 4.201(M)(3).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billing statement dated </w:t>
      </w:r>
      <w:r>
        <w:rPr>
          <w:rStyle w:val="Strong"/>
          <w:rFonts w:ascii="Times New Roman" w:hAnsi="Times New Roman"/>
          <w:b w:val="false"/>
          <w:bCs w:val="false"/>
        </w:rPr>
        <w:t>April 15, 2025</w:t>
      </w:r>
      <w:r>
        <w:rPr>
          <w:rFonts w:ascii="Times New Roman" w:hAnsi="Times New Roman"/>
          <w:b w:val="false"/>
          <w:bCs w:val="false"/>
        </w:rPr>
        <w:t xml:space="preserve">, attached as </w:t>
      </w:r>
      <w:r>
        <w:rPr>
          <w:rStyle w:val="Strong"/>
          <w:rFonts w:ascii="Times New Roman" w:hAnsi="Times New Roman"/>
          <w:b w:val="false"/>
          <w:bCs w:val="false"/>
        </w:rPr>
        <w:t>Exhibit C</w:t>
      </w:r>
      <w:r>
        <w:rPr>
          <w:rFonts w:ascii="Times New Roman" w:hAnsi="Times New Roman"/>
          <w:b w:val="false"/>
          <w:bCs w:val="false"/>
        </w:rPr>
        <w:t xml:space="preserve">, includes </w:t>
      </w:r>
      <w:r>
        <w:rPr>
          <w:rStyle w:val="Strong"/>
          <w:rFonts w:ascii="Times New Roman" w:hAnsi="Times New Roman"/>
          <w:b w:val="false"/>
          <w:bCs w:val="false"/>
        </w:rPr>
        <w:t>fabricated utility charges</w:t>
      </w:r>
      <w:r>
        <w:rPr>
          <w:rFonts w:ascii="Times New Roman" w:hAnsi="Times New Roman"/>
          <w:b w:val="false"/>
          <w:bCs w:val="false"/>
        </w:rPr>
        <w:t xml:space="preserve"> and an inflated “previous balance” of </w:t>
      </w:r>
      <w:r>
        <w:rPr>
          <w:rStyle w:val="Strong"/>
          <w:rFonts w:ascii="Times New Roman" w:hAnsi="Times New Roman"/>
          <w:b w:val="false"/>
          <w:bCs w:val="false"/>
        </w:rPr>
        <w:t>$4,216.26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These charges violate multiple statutory provisions, including but not limited 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MCL 554.632</w:t>
      </w:r>
      <w:r>
        <w:rPr>
          <w:rFonts w:ascii="Times New Roman" w:hAnsi="Times New Roman"/>
          <w:b w:val="false"/>
          <w:bCs w:val="false"/>
        </w:rPr>
        <w:t xml:space="preserve"> – prohibits undisclosed utility billing;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MCL 554.139(1)(c)</w:t>
      </w:r>
      <w:r>
        <w:rPr>
          <w:rFonts w:ascii="Times New Roman" w:hAnsi="Times New Roman"/>
          <w:b w:val="false"/>
          <w:bCs w:val="false"/>
        </w:rPr>
        <w:t xml:space="preserve"> – requires reasonable maintenance of essential services;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MCL 445.903</w:t>
      </w:r>
      <w:r>
        <w:rPr>
          <w:rFonts w:ascii="Times New Roman" w:hAnsi="Times New Roman"/>
          <w:b w:val="false"/>
          <w:bCs w:val="false"/>
        </w:rPr>
        <w:t xml:space="preserve"> – prohibits deceptive trade practices;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MCL 600.2918(1)</w:t>
      </w:r>
      <w:r>
        <w:rPr>
          <w:rFonts w:ascii="Times New Roman" w:hAnsi="Times New Roman"/>
          <w:b w:val="false"/>
          <w:bCs w:val="false"/>
        </w:rPr>
        <w:t xml:space="preserve"> – provides for damages due to constructive eviction.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Moreover, Plaintiff billed sewer charges while under </w:t>
      </w:r>
      <w:r>
        <w:rPr>
          <w:rStyle w:val="Strong"/>
          <w:rFonts w:ascii="Times New Roman" w:hAnsi="Times New Roman"/>
          <w:b w:val="false"/>
          <w:bCs w:val="false"/>
        </w:rPr>
        <w:t>active investigation by EGLE</w:t>
      </w:r>
      <w:r>
        <w:rPr>
          <w:rFonts w:ascii="Times New Roman" w:hAnsi="Times New Roman"/>
          <w:b w:val="false"/>
          <w:bCs w:val="false"/>
        </w:rPr>
        <w:t xml:space="preserve"> for raw sewage discharge on </w:t>
      </w:r>
      <w:r>
        <w:rPr>
          <w:rStyle w:val="Strong"/>
          <w:rFonts w:ascii="Times New Roman" w:hAnsi="Times New Roman"/>
          <w:b w:val="false"/>
          <w:bCs w:val="false"/>
        </w:rPr>
        <w:t>Lot 21</w:t>
      </w:r>
      <w:r>
        <w:rPr>
          <w:rFonts w:ascii="Times New Roman" w:hAnsi="Times New Roman"/>
          <w:b w:val="false"/>
          <w:bCs w:val="false"/>
        </w:rPr>
        <w:t xml:space="preserve">. See </w:t>
      </w:r>
      <w:r>
        <w:rPr>
          <w:rStyle w:val="Strong"/>
          <w:rFonts w:ascii="Times New Roman" w:hAnsi="Times New Roman"/>
          <w:b w:val="false"/>
          <w:bCs w:val="false"/>
        </w:rPr>
        <w:t>Exhibit B</w:t>
      </w:r>
      <w:r>
        <w:rPr>
          <w:rFonts w:ascii="Times New Roman" w:hAnsi="Times New Roman"/>
          <w:b w:val="false"/>
          <w:bCs w:val="false"/>
        </w:rPr>
        <w:t xml:space="preserve"> (EGLE complaint confirmation, dated March 18, 2025), admissible under </w:t>
      </w:r>
      <w:r>
        <w:rPr>
          <w:rStyle w:val="Strong"/>
          <w:rFonts w:ascii="Times New Roman" w:hAnsi="Times New Roman"/>
          <w:b w:val="false"/>
          <w:bCs w:val="false"/>
        </w:rPr>
        <w:t>MRE 902(5)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Defendant has filed </w:t>
      </w:r>
      <w:r>
        <w:rPr>
          <w:rStyle w:val="Strong"/>
          <w:rFonts w:ascii="Times New Roman" w:hAnsi="Times New Roman"/>
          <w:b w:val="false"/>
          <w:bCs w:val="false"/>
        </w:rPr>
        <w:t>Exhibit D – Verified Final Damages &amp; Cost Statement</w:t>
      </w:r>
      <w:r>
        <w:rPr>
          <w:rFonts w:ascii="Times New Roman" w:hAnsi="Times New Roman"/>
          <w:b w:val="false"/>
          <w:bCs w:val="false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</w:rPr>
        <w:t>Exhibit E – Unsworn Declaration of Andrew J. Pigors</w:t>
      </w:r>
      <w:r>
        <w:rPr>
          <w:rFonts w:ascii="Times New Roman" w:hAnsi="Times New Roman"/>
          <w:b w:val="false"/>
          <w:bCs w:val="false"/>
        </w:rPr>
        <w:t xml:space="preserve">, under </w:t>
      </w:r>
      <w:r>
        <w:rPr>
          <w:rStyle w:val="Strong"/>
          <w:rFonts w:ascii="Times New Roman" w:hAnsi="Times New Roman"/>
          <w:b w:val="false"/>
          <w:bCs w:val="false"/>
        </w:rPr>
        <w:t>MCR 1.109(D)(3)</w:t>
      </w:r>
      <w:r>
        <w:rPr>
          <w:rFonts w:ascii="Times New Roman" w:hAnsi="Times New Roman"/>
          <w:b w:val="false"/>
          <w:bCs w:val="false"/>
        </w:rPr>
        <w:t>, confirming all losses, billing fraud, and lack of legal basis for Plaintiff’s claims.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IV. LEGAL CONSEQUENCES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use of </w:t>
      </w:r>
      <w:r>
        <w:rPr>
          <w:rStyle w:val="Strong"/>
          <w:rFonts w:ascii="Times New Roman" w:hAnsi="Times New Roman"/>
          <w:b w:val="false"/>
          <w:bCs w:val="false"/>
        </w:rPr>
        <w:t>Exhibit C</w:t>
      </w:r>
      <w:r>
        <w:rPr>
          <w:rFonts w:ascii="Times New Roman" w:hAnsi="Times New Roman"/>
          <w:b w:val="false"/>
          <w:bCs w:val="false"/>
        </w:rPr>
        <w:t xml:space="preserve"> to support reinstatement constitutes </w:t>
      </w:r>
      <w:r>
        <w:rPr>
          <w:rStyle w:val="Strong"/>
          <w:rFonts w:ascii="Times New Roman" w:hAnsi="Times New Roman"/>
          <w:b w:val="false"/>
          <w:bCs w:val="false"/>
        </w:rPr>
        <w:t>fraud on the court</w:t>
      </w:r>
      <w:r>
        <w:rPr>
          <w:rFonts w:ascii="Times New Roman" w:hAnsi="Times New Roman"/>
          <w:b w:val="false"/>
          <w:bCs w:val="false"/>
        </w:rPr>
        <w:t xml:space="preserve"> under </w:t>
      </w:r>
      <w:r>
        <w:rPr>
          <w:rStyle w:val="Strong"/>
          <w:rFonts w:ascii="Times New Roman" w:hAnsi="Times New Roman"/>
          <w:b w:val="false"/>
          <w:bCs w:val="false"/>
        </w:rPr>
        <w:t>MCR 1.109(E)(5)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Reinstating this matter based on false and untimely filings violates the </w:t>
      </w:r>
      <w:r>
        <w:rPr>
          <w:rStyle w:val="Strong"/>
          <w:rFonts w:ascii="Times New Roman" w:hAnsi="Times New Roman"/>
          <w:b w:val="false"/>
          <w:bCs w:val="false"/>
        </w:rPr>
        <w:t>judicial integrity doctrine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MRE 403</w:t>
      </w:r>
      <w:r>
        <w:rPr>
          <w:rFonts w:ascii="Times New Roman" w:hAnsi="Times New Roman"/>
          <w:b w:val="false"/>
          <w:bCs w:val="false"/>
        </w:rPr>
        <w:t>, and would undermine the enforcement of statutory procedure.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V. RELIEF REQUESTED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WHEREFORE</w:t>
      </w:r>
      <w:r>
        <w:rPr>
          <w:rFonts w:ascii="Times New Roman" w:hAnsi="Times New Roman"/>
          <w:b w:val="false"/>
          <w:bCs w:val="false"/>
        </w:rPr>
        <w:t xml:space="preserve">, Defendant </w:t>
      </w:r>
      <w:r>
        <w:rPr>
          <w:rStyle w:val="Strong"/>
          <w:rFonts w:ascii="Times New Roman" w:hAnsi="Times New Roman"/>
          <w:b w:val="false"/>
          <w:bCs w:val="false"/>
        </w:rPr>
        <w:t>Andrew J. Pigors</w:t>
      </w:r>
      <w:r>
        <w:rPr>
          <w:rFonts w:ascii="Times New Roman" w:hAnsi="Times New Roman"/>
          <w:b w:val="false"/>
          <w:bCs w:val="false"/>
        </w:rPr>
        <w:t xml:space="preserve"> respectfully requests that this Honorable Court: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A. </w:t>
      </w:r>
      <w:r>
        <w:rPr>
          <w:rStyle w:val="Strong"/>
          <w:rFonts w:ascii="Times New Roman" w:hAnsi="Times New Roman"/>
          <w:b w:val="false"/>
          <w:bCs w:val="false"/>
        </w:rPr>
        <w:t>Deny any attempt</w:t>
      </w:r>
      <w:r>
        <w:rPr>
          <w:rFonts w:ascii="Times New Roman" w:hAnsi="Times New Roman"/>
          <w:b w:val="false"/>
          <w:bCs w:val="false"/>
        </w:rPr>
        <w:t xml:space="preserve"> by Plaintiff to reinstate this matter, pursuant to </w:t>
      </w: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B. </w:t>
      </w:r>
      <w:r>
        <w:rPr>
          <w:rStyle w:val="Strong"/>
          <w:rFonts w:ascii="Times New Roman" w:hAnsi="Times New Roman"/>
          <w:b w:val="false"/>
          <w:bCs w:val="false"/>
        </w:rPr>
        <w:t>Strike Exhibit C</w:t>
      </w:r>
      <w:r>
        <w:rPr>
          <w:rFonts w:ascii="Times New Roman" w:hAnsi="Times New Roman"/>
          <w:b w:val="false"/>
          <w:bCs w:val="false"/>
        </w:rPr>
        <w:t xml:space="preserve"> from the record as fraudulent, inadmissible, and procedurally defective;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C. </w:t>
      </w:r>
      <w:r>
        <w:rPr>
          <w:rStyle w:val="Strong"/>
          <w:rFonts w:ascii="Times New Roman" w:hAnsi="Times New Roman"/>
          <w:b w:val="false"/>
          <w:bCs w:val="false"/>
        </w:rPr>
        <w:t>Bar entry of any judgment or writ of restitution</w:t>
      </w:r>
      <w:r>
        <w:rPr>
          <w:rFonts w:ascii="Times New Roman" w:hAnsi="Times New Roman"/>
          <w:b w:val="false"/>
          <w:bCs w:val="false"/>
        </w:rPr>
        <w:t xml:space="preserve"> arising from unlawful, untimely, or unsupported documents;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D. Pursuant to </w:t>
      </w:r>
      <w:r>
        <w:rPr>
          <w:rStyle w:val="Strong"/>
          <w:rFonts w:ascii="Times New Roman" w:hAnsi="Times New Roman"/>
          <w:b w:val="false"/>
          <w:bCs w:val="false"/>
        </w:rPr>
        <w:t>MCR 2.625(A)(1)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MCL 600.2591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award monetary relief</w:t>
      </w:r>
      <w:r>
        <w:rPr>
          <w:rFonts w:ascii="Times New Roman" w:hAnsi="Times New Roman"/>
          <w:b w:val="false"/>
          <w:bCs w:val="false"/>
        </w:rPr>
        <w:t xml:space="preserve"> in the amount of </w:t>
      </w:r>
      <w:r>
        <w:rPr>
          <w:rStyle w:val="Strong"/>
          <w:rFonts w:ascii="Times New Roman" w:hAnsi="Times New Roman"/>
          <w:b w:val="false"/>
          <w:bCs w:val="false"/>
        </w:rPr>
        <w:t>$10,969.25</w:t>
      </w:r>
      <w:r>
        <w:rPr>
          <w:rFonts w:ascii="Times New Roman" w:hAnsi="Times New Roman"/>
          <w:b w:val="false"/>
          <w:bCs w:val="false"/>
        </w:rPr>
        <w:t xml:space="preserve"> as set forth in </w:t>
      </w:r>
      <w:r>
        <w:rPr>
          <w:rStyle w:val="Strong"/>
          <w:rFonts w:ascii="Times New Roman" w:hAnsi="Times New Roman"/>
          <w:b w:val="false"/>
          <w:bCs w:val="false"/>
        </w:rPr>
        <w:t>Exhibit D – Verified Final Damages &amp; Cost Statement</w:t>
      </w:r>
      <w:r>
        <w:rPr>
          <w:rFonts w:ascii="Times New Roman" w:hAnsi="Times New Roman"/>
          <w:b w:val="false"/>
          <w:bCs w:val="false"/>
        </w:rPr>
        <w:t>, including: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Financial damages for overbilling, late fees, and utility fraud;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Litigation costs and time preparing this and other related cases;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Non-economic damages for emotional distress and harassment;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Costs and time spent independently researching Michigan civil procedure and landlord-tenant law;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E. Declare that Plaintiff’s litigation conduct constitutes a </w:t>
      </w:r>
      <w:r>
        <w:rPr>
          <w:rStyle w:val="Strong"/>
          <w:rFonts w:ascii="Times New Roman" w:hAnsi="Times New Roman"/>
          <w:b w:val="false"/>
          <w:bCs w:val="false"/>
        </w:rPr>
        <w:t>pattern of abusive process</w:t>
      </w:r>
      <w:r>
        <w:rPr>
          <w:rFonts w:ascii="Times New Roman" w:hAnsi="Times New Roman"/>
          <w:b w:val="false"/>
          <w:bCs w:val="false"/>
        </w:rPr>
        <w:t xml:space="preserve"> under </w:t>
      </w:r>
      <w:r>
        <w:rPr>
          <w:rStyle w:val="Strong"/>
          <w:rFonts w:ascii="Times New Roman" w:hAnsi="Times New Roman"/>
          <w:b w:val="false"/>
          <w:bCs w:val="false"/>
        </w:rPr>
        <w:t>MCR 1.109(E)(5)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MCL 600.2907</w:t>
      </w:r>
      <w:r>
        <w:rPr>
          <w:rFonts w:ascii="Times New Roman" w:hAnsi="Times New Roman"/>
          <w:b w:val="false"/>
          <w:bCs w:val="false"/>
        </w:rPr>
        <w:t>, warranting sanctions and deterrent relief;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F. Grant such other and further relief as this Court deems just, equitable, and appropriate to preserve procedural integrity and prevent further abuse.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Respectfully submitted,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/s/ Andrew J. Pigors</w:t>
      </w:r>
      <w:r>
        <w:rPr>
          <w:rFonts w:ascii="Times New Roman" w:hAnsi="Times New Roman"/>
          <w:b w:val="false"/>
          <w:bCs w:val="false"/>
        </w:rPr>
        <w:br/>
        <w:t>Andrew J. Pigors</w:t>
        <w:br/>
        <w:t>1977 Whitehall Road, Lot 17</w:t>
        <w:br/>
        <w:t>Muskegon, MI 49445</w:t>
        <w:br/>
        <w:t>(231) 724-6251</w:t>
        <w:br/>
      </w:r>
      <w:r>
        <w:rPr>
          <w:rStyle w:val="Strong"/>
          <w:rFonts w:ascii="Times New Roman" w:hAnsi="Times New Roman"/>
          <w:b w:val="false"/>
          <w:bCs w:val="false"/>
        </w:rPr>
        <w:t>Email:</w:t>
      </w:r>
      <w:r>
        <w:rPr>
          <w:rFonts w:ascii="Times New Roman" w:hAnsi="Times New Roman"/>
          <w:b w:val="false"/>
          <w:bCs w:val="false"/>
        </w:rPr>
        <w:t xml:space="preserve"> andrewjpigors@gmail.com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Dated:</w:t>
      </w:r>
      <w:r>
        <w:rPr>
          <w:rFonts w:ascii="Times New Roman" w:hAnsi="Times New Roman"/>
          <w:b w:val="false"/>
          <w:bCs w:val="false"/>
        </w:rPr>
        <w:t xml:space="preserve"> May 8, 2025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✅ </w:t>
      </w:r>
      <w:r>
        <w:rPr>
          <w:rFonts w:ascii="Times New Roman" w:hAnsi="Times New Roman"/>
          <w:b w:val="false"/>
          <w:bCs w:val="false"/>
          <w:sz w:val="24"/>
          <w:szCs w:val="24"/>
        </w:rPr>
        <w:t>Attached Exhibits: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Exhibit A</w:t>
      </w:r>
      <w:r>
        <w:rPr>
          <w:rFonts w:ascii="Times New Roman" w:hAnsi="Times New Roman"/>
          <w:b w:val="false"/>
          <w:bCs w:val="false"/>
        </w:rPr>
        <w:t xml:space="preserve"> – Notice of Conditional Dismissal (April 16, 2025)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Exhibit B</w:t>
      </w:r>
      <w:r>
        <w:rPr>
          <w:rFonts w:ascii="Times New Roman" w:hAnsi="Times New Roman"/>
          <w:b w:val="false"/>
          <w:bCs w:val="false"/>
        </w:rPr>
        <w:t xml:space="preserve"> – EGLE Complaint Confirmation (March 18, 2025)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Exhibit C</w:t>
      </w:r>
      <w:r>
        <w:rPr>
          <w:rFonts w:ascii="Times New Roman" w:hAnsi="Times New Roman"/>
          <w:b w:val="false"/>
          <w:bCs w:val="false"/>
        </w:rPr>
        <w:t xml:space="preserve"> – Plaintiff’s Billing Statement (April 15, 2025)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Exhibit D</w:t>
      </w:r>
      <w:r>
        <w:rPr>
          <w:rFonts w:ascii="Times New Roman" w:hAnsi="Times New Roman"/>
          <w:b w:val="false"/>
          <w:bCs w:val="false"/>
        </w:rPr>
        <w:t xml:space="preserve"> – Verified Final Damages &amp; Cost Statement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Exhibit E</w:t>
      </w:r>
      <w:r>
        <w:rPr>
          <w:rFonts w:ascii="Times New Roman" w:hAnsi="Times New Roman"/>
          <w:b w:val="false"/>
          <w:bCs w:val="false"/>
        </w:rPr>
        <w:t xml:space="preserve"> – Unsworn Declaration of Andrew J. Pigors</w:t>
      </w:r>
    </w:p>
    <w:p>
      <w:pPr>
        <w:pStyle w:val="BodyText"/>
        <w:bidi w:val="0"/>
        <w:spacing w:lineRule="auto" w:line="360" w:before="0" w:after="140"/>
        <w:jc w:val="left"/>
        <w:rPr>
          <w:rStyle w:val="Strong"/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LibreOffice/25.2.2.2$Windows_X86_64 LibreOffice_project/7370d4be9e3cf6031a51beef54ff3bda878e3fac</Application>
  <AppVersion>15.0000</AppVersion>
  <Pages>4</Pages>
  <Words>790</Words>
  <Characters>4511</Characters>
  <CharactersWithSpaces>5232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2025-05-08T11:17:39Z</dcterms:created>
  <dc:creator/>
  <dc:description/>
  <dc:language>en-US</dc:language>
  <cp:lastModifiedBy/>
  <dcterms:modified xsi:type="dcterms:W3CDTF">2025-05-08T13:07:42Z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