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rFonts w:ascii="Times New Roman" w:hAnsi="Times New Roman"/>
          <w:b w:val="0"/>
          <w:i w:val="0"/>
          <w:sz w:val="24"/>
        </w:rPr>
        <w:t># PLAINTIFF'S EMERGENCY MOTION TO RESTORE PARENTING TIME</w:t>
      </w:r>
    </w:p>
    <w:p>
      <w:pPr>
        <w:spacing w:line="240" w:lineRule="auto" w:after="0" w:before="0"/>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14TH JUDICIAL CIRCUIT COURT — MUSKEGON COUNTY</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PIGORS,**</w:t>
            </w:r>
          </w:p>
        </w:tc>
        <w:tc>
          <w:tcPr>
            <w:tcW w:type="dxa" w:w="4680"/>
          </w:tcPr>
          <w:p>
            <w:pPr>
              <w:spacing w:line="240" w:lineRule="auto"/>
            </w:pPr>
            <w:r/>
            <w:r>
              <w:rPr>
                <w:rFonts w:ascii="Times New Roman" w:hAnsi="Times New Roman"/>
                <w:b/>
                <w:sz w:val="24"/>
              </w:rPr>
              <w:t>**Case No. 2024-001507-DC**</w:t>
            </w:r>
          </w:p>
        </w:tc>
      </w:tr>
      <w:tr>
        <w:tc>
          <w:tcPr>
            <w:tcW w:type="dxa" w:w="4680"/>
          </w:tcPr>
          <w:p>
            <w:pPr>
              <w:spacing w:line="240" w:lineRule="auto"/>
            </w:pPr>
            <w:r/>
            <w:r>
              <w:rPr>
                <w:rFonts w:ascii="Times New Roman" w:hAnsi="Times New Roman"/>
                <w:b w:val="0"/>
                <w:i w:val="0"/>
                <w:sz w:val="24"/>
              </w:rPr>
              <w:t>Plaintiff,</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i w:val="0"/>
                <w:sz w:val="24"/>
              </w:rPr>
              <w:t>Hon. Jenny L. McNeill</w:t>
            </w:r>
          </w:p>
        </w:tc>
      </w:tr>
      <w:tr>
        <w:tc>
          <w:tcPr>
            <w:tcW w:type="dxa" w:w="4680"/>
          </w:tcPr>
          <w:p>
            <w:pPr>
              <w:spacing w:line="240" w:lineRule="auto"/>
            </w:pPr>
            <w:r/>
            <w:r>
              <w:rPr>
                <w:rFonts w:ascii="Times New Roman" w:hAnsi="Times New Roman"/>
                <w:b/>
                <w:i w:val="0"/>
                <w:sz w:val="24"/>
              </w:rPr>
              <w:t>TIFFANY WATSON (fka PIGORS),</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Defendant.</w:t>
            </w:r>
          </w:p>
        </w:tc>
        <w:tc>
          <w:tcPr>
            <w:tcW w:type="dxa" w:w="4680"/>
          </w:tcPr>
          <w:p>
            <w:pPr>
              <w:spacing w:line="240" w:lineRule="auto"/>
            </w:pPr>
            <w:r/>
            <w:r>
              <w:rPr>
                <w:rFonts w:ascii="Times New Roman" w:hAnsi="Times New Roman"/>
                <w:b w:val="0"/>
                <w:i w:val="0"/>
                <w:sz w:val="24"/>
              </w:rPr>
            </w:r>
          </w:p>
        </w:tc>
      </w:tr>
    </w:tbl>
    <w:p>
      <w:pPr>
        <w:spacing w:line="480" w:lineRule="auto" w:after="0" w:before="0"/>
      </w:pPr>
      <w:r>
        <w:rPr>
          <w:rFonts w:ascii="Times New Roman" w:hAnsi="Times New Roman"/>
          <w:b/>
          <w:i w:val="0"/>
          <w:sz w:val="24"/>
        </w:rPr>
        <w:t>PLAINTIFF'S EMERGENCY MOTION TO RESTORE PARENTING TIME</w:t>
      </w:r>
    </w:p>
    <w:p>
      <w:pPr>
        <w:spacing w:line="480" w:lineRule="auto" w:after="0" w:before="0"/>
      </w:pPr>
      <w:r>
        <w:rPr>
          <w:rFonts w:ascii="Times New Roman" w:hAnsi="Times New Roman"/>
          <w:b w:val="0"/>
          <w:i w:val="0"/>
          <w:sz w:val="24"/>
        </w:rPr>
        <w:t>Plaintiff Andrew Pigors, appearing pro se, respectfully moves this Honorable Court pursuant to MCR 2.119(F), MCL 722.27a, and the Due Process Clause of the Fourteenth Amendment to the United States Constitution for an emergency order restoring parenting time between Plaintiff and his minor child. In support thereof, Plaintiff states as follows:</w:t>
      </w:r>
    </w:p>
    <w:p>
      <w:r>
        <w:br w:type="page"/>
      </w:r>
    </w:p>
    <w:p>
      <w:pPr>
        <w:pStyle w:val="Heading2"/>
      </w:pPr>
      <w:r>
        <w:rPr>
          <w:rFonts w:ascii="Times New Roman" w:hAnsi="Times New Roman"/>
        </w:rPr>
        <w:t>I. STATEMENT OF FACTS</w:t>
      </w:r>
    </w:p>
    <w:p>
      <w:pPr>
        <w:pStyle w:val="Heading3"/>
      </w:pPr>
      <w:r>
        <w:rPr>
          <w:rFonts w:ascii="Times New Roman" w:hAnsi="Times New Roman"/>
        </w:rPr>
        <w:t>Statement of Facts</w:t>
      </w:r>
    </w:p>
    <w:p>
      <w:pPr>
        <w:spacing w:line="480" w:lineRule="auto" w:after="0" w:before="0"/>
      </w:pPr>
      <w:r>
        <w:rPr>
          <w:rFonts w:ascii="Times New Roman" w:hAnsi="Times New Roman"/>
          <w:b/>
          <w:sz w:val="24"/>
        </w:rPr>
        <w:t xml:space="preserve">1. </w:t>
      </w:r>
      <w:r>
        <w:rPr>
          <w:rFonts w:ascii="Times New Roman" w:hAnsi="Times New Roman"/>
          <w:b/>
          <w:i w:val="0"/>
          <w:sz w:val="24"/>
        </w:rPr>
        <w:t>Andrew Pigors and Tiffany Watson</w:t>
      </w:r>
      <w:r>
        <w:rPr>
          <w:rFonts w:ascii="Times New Roman" w:hAnsi="Times New Roman"/>
          <w:b w:val="0"/>
          <w:i w:val="0"/>
          <w:sz w:val="24"/>
        </w:rPr>
        <w:t xml:space="preserve"> are parents of a child.</w:t>
      </w:r>
    </w:p>
    <w:p>
      <w:pPr>
        <w:spacing w:line="480" w:lineRule="auto" w:after="0" w:before="0"/>
      </w:pPr>
      <w:r>
        <w:rPr>
          <w:rFonts w:ascii="Times New Roman" w:hAnsi="Times New Roman"/>
          <w:b/>
          <w:sz w:val="24"/>
        </w:rPr>
        <w:t xml:space="preserve">2. </w:t>
      </w:r>
      <w:r>
        <w:rPr>
          <w:rFonts w:ascii="Times New Roman" w:hAnsi="Times New Roman"/>
          <w:b/>
          <w:i w:val="0"/>
          <w:sz w:val="24"/>
        </w:rPr>
        <w:t>Andrew Pigors</w:t>
      </w:r>
      <w:r>
        <w:rPr>
          <w:rFonts w:ascii="Times New Roman" w:hAnsi="Times New Roman"/>
          <w:b w:val="0"/>
          <w:i w:val="0"/>
          <w:sz w:val="24"/>
        </w:rPr>
        <w:t xml:space="preserve"> has been separated from his child for </w:t>
      </w:r>
      <w:r>
        <w:rPr>
          <w:rFonts w:ascii="Times New Roman" w:hAnsi="Times New Roman"/>
          <w:b/>
          <w:i w:val="0"/>
          <w:sz w:val="24"/>
        </w:rPr>
        <w:t>700+ days</w:t>
      </w:r>
      <w:r>
        <w:rPr>
          <w:rFonts w:ascii="Times New Roman" w:hAnsi="Times New Roman"/>
          <w:b w:val="0"/>
          <w:i w:val="0"/>
          <w:sz w:val="24"/>
        </w:rPr>
        <w:t xml:space="preserve"> since </w:t>
      </w:r>
      <w:r>
        <w:rPr>
          <w:rFonts w:ascii="Times New Roman" w:hAnsi="Times New Roman"/>
          <w:b/>
          <w:i w:val="0"/>
          <w:sz w:val="24"/>
        </w:rPr>
        <w:t>March 26, 2024</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i w:val="0"/>
          <w:sz w:val="24"/>
        </w:rPr>
        <w:t>Judge Jenny L. McNeill</w:t>
      </w:r>
      <w:r>
        <w:rPr>
          <w:rFonts w:ascii="Times New Roman" w:hAnsi="Times New Roman"/>
          <w:b w:val="0"/>
          <w:i w:val="0"/>
          <w:sz w:val="24"/>
        </w:rPr>
        <w:t xml:space="preserve"> issued an ex parte order suspending parenting time without an evidentiary hearing.</w:t>
      </w:r>
    </w:p>
    <w:p>
      <w:pPr>
        <w:spacing w:line="480" w:lineRule="auto" w:after="0" w:before="0"/>
      </w:pPr>
      <w:r>
        <w:rPr>
          <w:rFonts w:ascii="Times New Roman" w:hAnsi="Times New Roman"/>
          <w:b/>
          <w:sz w:val="24"/>
        </w:rPr>
        <w:t xml:space="preserve">4. </w:t>
      </w:r>
      <w:r>
        <w:rPr>
          <w:rFonts w:ascii="Times New Roman" w:hAnsi="Times New Roman"/>
          <w:b/>
          <w:i w:val="0"/>
          <w:sz w:val="24"/>
        </w:rPr>
        <w:t>No finding of abuse or neglect</w:t>
      </w:r>
      <w:r>
        <w:rPr>
          <w:rFonts w:ascii="Times New Roman" w:hAnsi="Times New Roman"/>
          <w:b w:val="0"/>
          <w:i w:val="0"/>
          <w:sz w:val="24"/>
        </w:rPr>
        <w:t xml:space="preserve"> was made.</w:t>
      </w:r>
    </w:p>
    <w:p>
      <w:pPr>
        <w:spacing w:line="480" w:lineRule="auto" w:after="0" w:before="0"/>
      </w:pPr>
      <w:r>
        <w:rPr>
          <w:rFonts w:ascii="Times New Roman" w:hAnsi="Times New Roman"/>
          <w:b/>
          <w:sz w:val="24"/>
        </w:rPr>
        <w:t xml:space="preserve">5. </w:t>
      </w:r>
      <w:r>
        <w:rPr>
          <w:rFonts w:ascii="Times New Roman" w:hAnsi="Times New Roman"/>
          <w:b/>
          <w:i w:val="0"/>
          <w:sz w:val="24"/>
        </w:rPr>
        <w:t>Tiffany Watson</w:t>
      </w:r>
      <w:r>
        <w:rPr>
          <w:rFonts w:ascii="Times New Roman" w:hAnsi="Times New Roman"/>
          <w:b w:val="0"/>
          <w:i w:val="0"/>
          <w:sz w:val="24"/>
        </w:rPr>
        <w:t xml:space="preserve"> engaged in </w:t>
      </w:r>
      <w:r>
        <w:rPr>
          <w:rFonts w:ascii="Times New Roman" w:hAnsi="Times New Roman"/>
          <w:b/>
          <w:i w:val="0"/>
          <w:sz w:val="24"/>
        </w:rPr>
        <w:t>parental alienation</w:t>
      </w:r>
      <w:r>
        <w:rPr>
          <w:rFonts w:ascii="Times New Roman" w:hAnsi="Times New Roman"/>
          <w:b w:val="0"/>
          <w:i w:val="0"/>
          <w:sz w:val="24"/>
        </w:rPr>
        <w:t xml:space="preserve"> as defined by MCL 722.23.</w:t>
      </w:r>
    </w:p>
    <w:p>
      <w:pPr>
        <w:spacing w:line="480" w:lineRule="auto" w:after="0" w:before="0"/>
      </w:pPr>
      <w:r>
        <w:rPr>
          <w:rFonts w:ascii="Times New Roman" w:hAnsi="Times New Roman"/>
          <w:b/>
          <w:sz w:val="24"/>
        </w:rPr>
        <w:t xml:space="preserve">6. </w:t>
      </w:r>
      <w:r>
        <w:rPr>
          <w:rFonts w:ascii="Times New Roman" w:hAnsi="Times New Roman"/>
          <w:b/>
          <w:i w:val="0"/>
          <w:sz w:val="24"/>
        </w:rPr>
        <w:t>Emergency relief</w:t>
      </w:r>
      <w:r>
        <w:rPr>
          <w:rFonts w:ascii="Times New Roman" w:hAnsi="Times New Roman"/>
          <w:b w:val="0"/>
          <w:i w:val="0"/>
          <w:sz w:val="24"/>
        </w:rPr>
        <w:t xml:space="preserve"> is needed under MCR 2.119(F) due to the suspension of parenting time and the ongoing parental alienation factor.</w:t>
      </w:r>
    </w:p>
    <w:p>
      <w:pPr>
        <w:spacing w:line="480" w:lineRule="auto" w:after="0" w:before="0"/>
      </w:pPr>
      <w:r>
        <w:rPr>
          <w:rFonts w:ascii="Times New Roman" w:hAnsi="Times New Roman"/>
          <w:b/>
          <w:i w:val="0"/>
          <w:sz w:val="24"/>
        </w:rPr>
        <w:t>Citations:</w:t>
      </w:r>
      <w:r>
        <w:rPr>
          <w:rFonts w:ascii="Times New Roman" w:hAnsi="Times New Roman"/>
          <w:b w:val="0"/>
          <w:i w:val="0"/>
          <w:sz w:val="24"/>
        </w:rPr>
        <w:t xml:space="preserve"> - (A) Individuals. Process may be served on a resident or nonresident individual by - (1) delivering a summons and a copy of the complaint to the defendant. - (</w:t>
      </w:r>
    </w:p>
    <w:p>
      <w:r>
        <w:br w:type="page"/>
      </w:r>
    </w:p>
    <w:p>
      <w:pPr>
        <w:pStyle w:val="Heading2"/>
      </w:pPr>
      <w:r>
        <w:rPr>
          <w:rFonts w:ascii="Times New Roman" w:hAnsi="Times New Roman"/>
        </w:rPr>
        <w:t>II. LEGAL STANDARD — EMERGENCY RELIEF</w:t>
      </w:r>
    </w:p>
    <w:p>
      <w:pPr>
        <w:spacing w:line="480" w:lineRule="auto" w:after="0" w:before="0"/>
      </w:pPr>
      <w:r>
        <w:rPr>
          <w:rFonts w:ascii="Times New Roman" w:hAnsi="Times New Roman"/>
          <w:b w:val="0"/>
          <w:i w:val="0"/>
          <w:sz w:val="24"/>
        </w:rPr>
        <w:t>Under MCR 2.119(F) in Michigan family law, the movant must demonstrate irreparable harm and that notice is impractical. Additionally, the movant must show that the denial of the relief would violate due process. This is reflected in MCL 722.27a, which outlines the rules for parenting time. Due process requirements include the right to notice and an opportunity to be heard.</w:t>
      </w:r>
    </w:p>
    <w:p>
      <w:r>
        <w:br w:type="page"/>
      </w:r>
    </w:p>
    <w:p>
      <w:pPr>
        <w:pStyle w:val="Heading2"/>
      </w:pPr>
      <w:r>
        <w:rPr>
          <w:rFonts w:ascii="Times New Roman" w:hAnsi="Times New Roman"/>
        </w:rPr>
        <w:t>III. LEGAL STANDARD — PARENTING TIME</w:t>
      </w:r>
    </w:p>
    <w:p>
      <w:pPr>
        <w:spacing w:line="480" w:lineRule="auto" w:after="0" w:before="0"/>
      </w:pPr>
      <w:r>
        <w:rPr>
          <w:rFonts w:ascii="Times New Roman" w:hAnsi="Times New Roman"/>
          <w:b w:val="0"/>
          <w:i w:val="0"/>
          <w:sz w:val="24"/>
        </w:rPr>
        <w:t>Under MCL 722.27a, the legal standard for restoring parenting time is that a parent cannot be denied parenting time without clear and convincing evidence of harm. This is established in the statute's provision that creates a presumption that parenting time is in the child's best interest. Relevant case law supports this standard, emphasizing the importance of clear and convincing evidence in challenging the presumption.</w:t>
      </w:r>
    </w:p>
    <w:p>
      <w:r>
        <w:br w:type="page"/>
      </w:r>
    </w:p>
    <w:p>
      <w:pPr>
        <w:pStyle w:val="Heading2"/>
      </w:pPr>
      <w:r>
        <w:rPr>
          <w:rFonts w:ascii="Times New Roman" w:hAnsi="Times New Roman"/>
        </w:rPr>
        <w:t>IV. CONSTITUTIONAL DUE PROCESS</w:t>
      </w:r>
    </w:p>
    <w:p>
      <w:pPr>
        <w:spacing w:line="480" w:lineRule="auto" w:after="0" w:before="0"/>
      </w:pPr>
      <w:r>
        <w:rPr>
          <w:rFonts w:ascii="Times New Roman" w:hAnsi="Times New Roman"/>
          <w:b w:val="0"/>
          <w:i w:val="0"/>
          <w:sz w:val="24"/>
        </w:rPr>
        <w:t>The 14th Amendment protects against the suspension of parenting time without a hearing by ensuring that parental rights are protected as a fundamental liberty interest. This is evident from the Supreme Court's decision in Troxel v. Granville, which upheld the constitutionality of a Washington state statute that limited the amount of time a parent could spend with their children. The Court balanced the state's interest in protecting the welfare of the children against the parent's interest in maintaining a relationship with their children, ultimately finding that the statute was not sufficiently justified to justify the restriction.</w:t>
      </w:r>
    </w:p>
    <w:p>
      <w:pPr>
        <w:spacing w:line="480" w:lineRule="auto" w:after="0" w:before="0"/>
      </w:pPr>
      <w:r>
        <w:rPr>
          <w:rFonts w:ascii="Times New Roman" w:hAnsi="Times New Roman"/>
          <w:b w:val="0"/>
          <w:i w:val="0"/>
          <w:sz w:val="24"/>
        </w:rPr>
        <w:t>In Mathews v. Eldridge, the Supreme Court established a balancing test to determine whether government action is reasonable. The test considers the importance of the governmental interest, the extent to which the interest is outweighed by the invasion of a fundamental right, and the extent to which the governmental interest is consonant with the requirements of a fair process. This framework is applicable when evaluating the constitutionality of restrictions on parental rights, ensuring that such restrictions</w:t>
      </w:r>
    </w:p>
    <w:p>
      <w:r>
        <w:br w:type="page"/>
      </w:r>
    </w:p>
    <w:p>
      <w:pPr>
        <w:pStyle w:val="Heading2"/>
      </w:pPr>
      <w:r>
        <w:rPr>
          <w:rFonts w:ascii="Times New Roman" w:hAnsi="Times New Roman"/>
        </w:rPr>
        <w:t>V. RELIEF REQUESTED</w:t>
      </w:r>
    </w:p>
    <w:p>
      <w:pPr>
        <w:pStyle w:val="Heading3"/>
      </w:pPr>
      <w:r>
        <w:rPr>
          <w:rFonts w:ascii="Times New Roman" w:hAnsi="Times New Roman"/>
        </w:rPr>
        <w:t>Relief Requested</w:t>
      </w:r>
    </w:p>
    <w:p>
      <w:pPr>
        <w:spacing w:line="480" w:lineRule="auto" w:after="0" w:before="0"/>
      </w:pPr>
      <w:r>
        <w:rPr>
          <w:rFonts w:ascii="Times New Roman" w:hAnsi="Times New Roman"/>
          <w:b/>
          <w:sz w:val="24"/>
        </w:rPr>
        <w:t xml:space="preserve">1. </w:t>
      </w:r>
      <w:r>
        <w:rPr>
          <w:rFonts w:ascii="Times New Roman" w:hAnsi="Times New Roman"/>
          <w:b/>
          <w:i w:val="0"/>
          <w:sz w:val="24"/>
        </w:rPr>
        <w:t>Immediate Restoration of Reasonable Parenting Time: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Citation:</w:t>
      </w:r>
      <w:r>
        <w:rPr>
          <w:rFonts w:ascii="Times New Roman" w:hAnsi="Times New Roman"/>
          <w:b w:val="0"/>
          <w:i w:val="0"/>
          <w:sz w:val="24"/>
        </w:rPr>
        <w:t xml:space="preserve"> MCR 2.140(1), MCL 722.140(1)</w:t>
      </w:r>
    </w:p>
    <w:p>
      <w:pPr>
        <w:spacing w:line="480" w:lineRule="auto" w:after="0" w:before="0"/>
      </w:pPr>
      <w:r>
        <w:rPr>
          <w:rFonts w:ascii="Times New Roman" w:hAnsi="Times New Roman"/>
          <w:b/>
          <w:sz w:val="24"/>
        </w:rPr>
        <w:t xml:space="preserve">2. </w:t>
      </w:r>
      <w:r>
        <w:rPr>
          <w:rFonts w:ascii="Times New Roman" w:hAnsi="Times New Roman"/>
          <w:b/>
          <w:i w:val="0"/>
          <w:sz w:val="24"/>
        </w:rPr>
        <w:t>Makeup Parenting Time for 700+ Days of Deprivation: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Citation:</w:t>
      </w:r>
      <w:r>
        <w:rPr>
          <w:rFonts w:ascii="Times New Roman" w:hAnsi="Times New Roman"/>
          <w:b w:val="0"/>
          <w:i w:val="0"/>
          <w:sz w:val="24"/>
        </w:rPr>
        <w:t xml:space="preserve"> MCR 2.140(1), MCL 722.140(1)</w:t>
      </w:r>
    </w:p>
    <w:p>
      <w:pPr>
        <w:spacing w:line="480" w:lineRule="auto" w:after="0" w:before="0"/>
      </w:pPr>
      <w:r>
        <w:rPr>
          <w:rFonts w:ascii="Times New Roman" w:hAnsi="Times New Roman"/>
          <w:b/>
          <w:sz w:val="24"/>
        </w:rPr>
        <w:t xml:space="preserve">3. </w:t>
      </w:r>
      <w:r>
        <w:rPr>
          <w:rFonts w:ascii="Times New Roman" w:hAnsi="Times New Roman"/>
          <w:b/>
          <w:i w:val="0"/>
          <w:sz w:val="24"/>
        </w:rPr>
        <w:t>Appointment of Parenting Time Coordinator:</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Citation:</w:t>
      </w:r>
      <w:r>
        <w:rPr>
          <w:rFonts w:ascii="Times New Roman" w:hAnsi="Times New Roman"/>
          <w:b w:val="0"/>
          <w:i w:val="0"/>
          <w:sz w:val="24"/>
        </w:rPr>
        <w:t xml:space="preserve"> MCR 2.140(1), MCL 722.140(1)</w:t>
      </w:r>
    </w:p>
    <w:p>
      <w:pPr>
        <w:spacing w:line="480" w:lineRule="auto" w:after="0" w:before="0"/>
      </w:pPr>
      <w:r>
        <w:rPr>
          <w:rFonts w:ascii="Times New Roman" w:hAnsi="Times New Roman"/>
          <w:b/>
          <w:sz w:val="24"/>
        </w:rPr>
        <w:t xml:space="preserve">4. </w:t>
      </w:r>
      <w:r>
        <w:rPr>
          <w:rFonts w:ascii="Times New Roman" w:hAnsi="Times New Roman"/>
          <w:b/>
          <w:i w:val="0"/>
          <w:sz w:val="24"/>
        </w:rPr>
        <w:t>Order Defendant to Cease Alienating Conduct: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Citation:</w:t>
      </w:r>
      <w:r>
        <w:rPr>
          <w:rFonts w:ascii="Times New Roman" w:hAnsi="Times New Roman"/>
          <w:b w:val="0"/>
          <w:i w:val="0"/>
          <w:sz w:val="24"/>
        </w:rPr>
        <w:t xml:space="preserve"> MCR 2.140(1), MCL 722.140(1)</w:t>
      </w:r>
    </w:p>
    <w:p>
      <w:pPr>
        <w:spacing w:line="480" w:lineRule="auto" w:after="0" w:before="0"/>
      </w:pPr>
      <w:r>
        <w:rPr>
          <w:rFonts w:ascii="Times New Roman" w:hAnsi="Times New Roman"/>
          <w:b/>
          <w:sz w:val="24"/>
        </w:rPr>
        <w:t xml:space="preserve">5. </w:t>
      </w:r>
      <w:r>
        <w:rPr>
          <w:rFonts w:ascii="Times New Roman" w:hAnsi="Times New Roman"/>
          <w:b/>
          <w:i w:val="0"/>
          <w:sz w:val="24"/>
        </w:rPr>
        <w:t>Evidentiary Hearing Within 14 Days:</w:t>
      </w:r>
    </w:p>
    <w:p>
      <w:pPr>
        <w:spacing w:line="480" w:lineRule="auto" w:after="0" w:before="0"/>
      </w:pPr>
      <w:r>
        <w:rPr>
          <w:rFonts w:ascii="Times New Roman" w:hAnsi="Times New Roman"/>
          <w:b w:val="0"/>
          <w:i w:val="0"/>
          <w:sz w:val="24"/>
        </w:rPr>
        <w:t>- **</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Pigors, declare under penalty of perjury that the facts stated in this motion are true and correct to the best of my knowledge, information, and belief.</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Plaintiff Pro Se Date: _____________</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copy of this Emergency Motion upon:</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[Address] by [first-class mail / electronic filing / personal service].</w:t>
      </w:r>
    </w:p>
    <w:p>
      <w:r>
        <w:br w:type="page"/>
      </w:r>
    </w:p>
    <w:p>
      <w:pPr>
        <w:spacing w:line="480" w:lineRule="auto" w:after="0" w:before="0"/>
      </w:pPr>
      <w:r>
        <w:rPr>
          <w:rFonts w:ascii="Times New Roman" w:hAnsi="Times New Roman"/>
          <w:b/>
          <w:i w:val="0"/>
          <w:sz w:val="24"/>
        </w:rPr>
        <w:t>Andrew Pigors</w:t>
      </w:r>
    </w:p>
    <w:p>
      <w:r>
        <w:br w:type="page"/>
      </w:r>
    </w:p>
    <w:p>
      <w:pPr>
        <w:spacing w:line="480" w:lineRule="auto" w:after="0" w:before="0"/>
      </w:pPr>
      <w:r>
        <w:rPr>
          <w:rFonts w:ascii="Times New Roman" w:hAnsi="Times New Roman"/>
          <w:b w:val="0"/>
          <w:i/>
          <w:sz w:val="24"/>
        </w:rPr>
        <w:t>Generated by MBP LitigationOS RAG Engine — requires review and editing before filing.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