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EMERGENCY MOTION TO RESTORE PARENTING TIME</w:t>
      </w:r>
    </w:p>
    <w:p>
      <w:r>
        <w:br w:type="page"/>
      </w:r>
    </w:p>
    <w:p>
      <w:pPr>
        <w:pStyle w:val="Heading2"/>
      </w:pPr>
      <w:r>
        <w:rPr>
          <w:rFonts w:ascii="Times New Roman" w:hAnsi="Times New Roman"/>
        </w:rPr>
        <w:t>STATE OF MICHIGAN</w:t>
      </w:r>
    </w:p>
    <w:p>
      <w:pPr>
        <w:pStyle w:val="Heading2"/>
      </w:pPr>
      <w:r>
        <w:rPr>
          <w:rFonts w:ascii="Times New Roman" w:hAnsi="Times New Roman"/>
        </w:rPr>
        <w:t>IN THE 14TH CIRCUIT COURT FOR MUSKEGON COUNTY</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w:t>
      </w:r>
      <w:r>
        <w:rPr>
          <w:rFonts w:ascii="Times New Roman" w:hAnsi="Times New Roman"/>
          <w:b w:val="0"/>
          <w:i/>
          <w:sz w:val="24"/>
        </w:rPr>
        <w:t>Plaintiff,</w:t>
      </w:r>
    </w:p>
    <w:p>
      <w:pPr>
        <w:spacing w:line="480" w:lineRule="auto" w:after="0" w:before="0"/>
      </w:pPr>
      <w:r>
        <w:rPr>
          <w:rFonts w:ascii="Times New Roman" w:hAnsi="Times New Roman"/>
          <w:b w:val="0"/>
          <w:i w:val="0"/>
          <w:sz w:val="24"/>
        </w:rPr>
        <w:t>v.                                                          Case No. 2024-001507-DC</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Hon. Jenny L. McNeill </w:t>
      </w:r>
      <w:r>
        <w:rPr>
          <w:rFonts w:ascii="Times New Roman" w:hAnsi="Times New Roman"/>
          <w:b w:val="0"/>
          <w:i/>
          <w:sz w:val="24"/>
        </w:rPr>
        <w:t>Defendant.</w:t>
      </w:r>
    </w:p>
    <w:p>
      <w:r>
        <w:br w:type="page"/>
      </w:r>
    </w:p>
    <w:p>
      <w:pPr>
        <w:spacing w:line="480" w:lineRule="auto" w:after="0" w:before="0"/>
      </w:pPr>
      <w:r>
        <w:rPr>
          <w:rFonts w:ascii="Times New Roman" w:hAnsi="Times New Roman"/>
          <w:b/>
          <w:i w:val="0"/>
          <w:sz w:val="24"/>
        </w:rPr>
        <w:t>PLAINTIFF'S EMERGENCY MOTION TO RESTORE PARENTING TIME</w:t>
      </w:r>
      <w:r>
        <w:rPr>
          <w:rFonts w:ascii="Times New Roman" w:hAnsi="Times New Roman"/>
          <w:b w:val="0"/>
          <w:i w:val="0"/>
          <w:sz w:val="24"/>
        </w:rPr>
        <w:t xml:space="preserve"> </w:t>
      </w:r>
      <w:r>
        <w:rPr>
          <w:rFonts w:ascii="Times New Roman" w:hAnsi="Times New Roman"/>
          <w:b/>
          <w:i w:val="0"/>
          <w:sz w:val="24"/>
        </w:rPr>
        <w:t>Filed Pursuant to MCL 722.27a, MCR 3.207, and MCR 2.119(A)</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Pigors ("Father"), proceeding pro se, files this Emergency Motion to Restore Parenting Time pursuant to MCL 722.27a, MCR 3.207, and MCR 2.119(A).</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Father's parenting time with the minor children has been suspended for </w:t>
      </w:r>
      <w:r>
        <w:rPr>
          <w:rFonts w:ascii="Times New Roman" w:hAnsi="Times New Roman"/>
          <w:b/>
          <w:i w:val="0"/>
          <w:sz w:val="24"/>
        </w:rPr>
        <w:t>204 consecutive days</w:t>
      </w:r>
      <w:r>
        <w:rPr>
          <w:rFonts w:ascii="Times New Roman" w:hAnsi="Times New Roman"/>
          <w:b w:val="0"/>
          <w:i w:val="0"/>
          <w:sz w:val="24"/>
        </w:rPr>
        <w:t xml:space="preserve"> (from August 8, 2025 to February 28, 2026) since August 8, 2025, based on ex parte orders entered without notice, hearing, or findings under MCL 722.27a(3).</w:t>
      </w:r>
    </w:p>
    <w:p>
      <w:pPr>
        <w:spacing w:line="480" w:lineRule="auto" w:after="0" w:before="0"/>
      </w:pPr>
      <w:r>
        <w:rPr>
          <w:rFonts w:ascii="Times New Roman" w:hAnsi="Times New Roman"/>
          <w:b/>
          <w:sz w:val="24"/>
        </w:rPr>
        <w:t xml:space="preserve">3. </w:t>
      </w:r>
      <w:r>
        <w:rPr>
          <w:rFonts w:ascii="Times New Roman" w:hAnsi="Times New Roman"/>
          <w:b w:val="0"/>
          <w:i w:val="0"/>
          <w:sz w:val="24"/>
        </w:rPr>
        <w:t>This motion is filed on an emergency basis because every additional day of separation causes irreparable harm to both Father and the minor children that cannot be remedied by retrospective relief.</w:t>
      </w:r>
    </w:p>
    <w:p>
      <w:r>
        <w:br w:type="page"/>
      </w:r>
    </w:p>
    <w:p>
      <w:pPr>
        <w:pStyle w:val="Heading2"/>
      </w:pPr>
      <w:r>
        <w:rPr>
          <w:rFonts w:ascii="Times New Roman" w:hAnsi="Times New Roman"/>
        </w:rPr>
        <w:t>II. STATEMENT OF FACTS</w:t>
      </w:r>
    </w:p>
    <w:p>
      <w:pPr>
        <w:spacing w:line="480" w:lineRule="auto" w:after="0" w:before="0"/>
      </w:pPr>
      <w:r>
        <w:rPr>
          <w:rFonts w:ascii="Times New Roman" w:hAnsi="Times New Roman"/>
          <w:b/>
          <w:sz w:val="24"/>
        </w:rPr>
        <w:t xml:space="preserve">4. </w:t>
      </w:r>
      <w:r>
        <w:rPr>
          <w:rFonts w:ascii="Times New Roman" w:hAnsi="Times New Roman"/>
          <w:b w:val="0"/>
          <w:i w:val="0"/>
          <w:sz w:val="24"/>
        </w:rPr>
        <w:t>Father and Mother (Tiffany Watson) are parents of minor children who are the subject of this custody proceeding.</w:t>
      </w:r>
    </w:p>
    <w:p>
      <w:pPr>
        <w:spacing w:line="480" w:lineRule="auto" w:after="0" w:before="0"/>
      </w:pPr>
      <w:r>
        <w:rPr>
          <w:rFonts w:ascii="Times New Roman" w:hAnsi="Times New Roman"/>
          <w:b/>
          <w:sz w:val="24"/>
        </w:rPr>
        <w:t xml:space="preserve">5. </w:t>
      </w:r>
      <w:r>
        <w:rPr>
          <w:rFonts w:ascii="Times New Roman" w:hAnsi="Times New Roman"/>
          <w:b w:val="0"/>
          <w:i w:val="0"/>
          <w:sz w:val="24"/>
        </w:rPr>
        <w:t>Prior to August 8, 2025, Father was actively exercising parenting time. No protective order existed against Father. No finding had been made that Father posed any danger to the children.</w:t>
      </w:r>
    </w:p>
    <w:p>
      <w:pPr>
        <w:spacing w:line="480" w:lineRule="auto" w:after="0" w:before="0"/>
      </w:pPr>
      <w:r>
        <w:rPr>
          <w:rFonts w:ascii="Times New Roman" w:hAnsi="Times New Roman"/>
          <w:b/>
          <w:sz w:val="24"/>
        </w:rPr>
        <w:t xml:space="preserve">6. </w:t>
      </w:r>
      <w:r>
        <w:rPr>
          <w:rFonts w:ascii="Times New Roman" w:hAnsi="Times New Roman"/>
          <w:b w:val="0"/>
          <w:i w:val="0"/>
          <w:sz w:val="24"/>
        </w:rPr>
        <w:t>On August 8, 2025, this Court entered five ex parte orders, including an order suspending ALL of Father's parenting time. Father received no notice of these proceedings.</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As of the date of this filing, Father has been separated from his children for </w:t>
      </w:r>
      <w:r>
        <w:rPr>
          <w:rFonts w:ascii="Times New Roman" w:hAnsi="Times New Roman"/>
          <w:b/>
          <w:i w:val="0"/>
          <w:sz w:val="24"/>
        </w:rPr>
        <w:t>204 consecutive days</w:t>
      </w:r>
      <w:r>
        <w:rPr>
          <w:rFonts w:ascii="Times New Roman" w:hAnsi="Times New Roman"/>
          <w:b w:val="0"/>
          <w:i w:val="0"/>
          <w:sz w:val="24"/>
        </w:rPr>
        <w:t xml:space="preserve"> (from August 8, 2025 to February 28, 2026).</w:t>
      </w:r>
    </w:p>
    <w:p>
      <w:pPr>
        <w:spacing w:line="480" w:lineRule="auto" w:after="0" w:before="0"/>
      </w:pPr>
      <w:r>
        <w:rPr>
          <w:rFonts w:ascii="Times New Roman" w:hAnsi="Times New Roman"/>
          <w:b/>
          <w:sz w:val="24"/>
        </w:rPr>
        <w:t xml:space="preserve">8. </w:t>
      </w:r>
      <w:r>
        <w:rPr>
          <w:rFonts w:ascii="Times New Roman" w:hAnsi="Times New Roman"/>
          <w:b w:val="0"/>
          <w:i w:val="0"/>
          <w:sz w:val="24"/>
        </w:rPr>
        <w:t>No best-interest hearing under MCL 722.23(a)-(l) has been conducted to support the suspension.</w:t>
      </w:r>
    </w:p>
    <w:p>
      <w:pPr>
        <w:spacing w:line="480" w:lineRule="auto" w:after="0" w:before="0"/>
      </w:pPr>
      <w:r>
        <w:rPr>
          <w:rFonts w:ascii="Times New Roman" w:hAnsi="Times New Roman"/>
          <w:b/>
          <w:sz w:val="24"/>
        </w:rPr>
        <w:t xml:space="preserve">9. </w:t>
      </w:r>
      <w:r>
        <w:rPr>
          <w:rFonts w:ascii="Times New Roman" w:hAnsi="Times New Roman"/>
          <w:b w:val="0"/>
          <w:i w:val="0"/>
          <w:sz w:val="24"/>
        </w:rPr>
        <w:t>No finding has been made that the children's "physical, mental, or emotional health would be seriously endangered" by contact with Father (MCL 722.27a(3)).</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Notably, the record documents that on October 20, 2024, Defendant's father, Albert Watson, forcibly removed the minor child from Father's arms during a parenting-time exchange. </w:t>
      </w:r>
      <w:r>
        <w:rPr>
          <w:rFonts w:ascii="Times New Roman" w:hAnsi="Times New Roman"/>
          <w:b w:val="0"/>
          <w:i/>
          <w:sz w:val="24"/>
        </w:rPr>
        <w:t>See</w:t>
      </w:r>
      <w:r>
        <w:rPr>
          <w:rFonts w:ascii="Times New Roman" w:hAnsi="Times New Roman"/>
          <w:b w:val="0"/>
          <w:i w:val="0"/>
          <w:sz w:val="24"/>
        </w:rPr>
        <w:t xml:space="preserve"> Record, Docket Event dated October 20, 2024; PPO Violation Hearing, October 30, 2024. This documented act of physical aggression by a member of the Watson family — not by Father — undermines the narrative that Father poses a safety risk to the child and demonstrates that the actual source of violence at exchanges has been the Watson family.</w:t>
      </w:r>
    </w:p>
    <w:p>
      <w:r>
        <w:br w:type="page"/>
      </w:r>
    </w:p>
    <w:p>
      <w:pPr>
        <w:pStyle w:val="Heading2"/>
      </w:pPr>
      <w:r>
        <w:rPr>
          <w:rFonts w:ascii="Times New Roman" w:hAnsi="Times New Roman"/>
        </w:rPr>
        <w:t>III. ARGUMENT</w:t>
      </w:r>
    </w:p>
    <w:p>
      <w:pPr>
        <w:pStyle w:val="Heading3"/>
      </w:pPr>
      <w:r>
        <w:rPr>
          <w:rFonts w:ascii="Times New Roman" w:hAnsi="Times New Roman"/>
        </w:rPr>
        <w:t>A. The Suspension Violates MCL 722.27a</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parenting time may be suspended without a finding under MCL 722.27a(3).</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722.27a(1) establishes Michigan's public policy "to assure that each minor child ... has close contact with both parents." MCL 722.27a(3) provides that parenting time may be restricted only where the court determines "on the basis of clear and convincing evidence" that "the child's physical, mental, or emotional health would be seriously endangered by an unsupervised parenting time order." This is a high evidentiary standard — clear and convincing evidence, not a mere preponderance.</w:t>
      </w:r>
    </w:p>
    <w:p>
      <w:pPr>
        <w:spacing w:line="480" w:lineRule="auto" w:after="0" w:before="0"/>
      </w:pPr>
      <w:r>
        <w:rPr>
          <w:rFonts w:ascii="Times New Roman" w:hAnsi="Times New Roman"/>
          <w:b/>
          <w:i w:val="0"/>
          <w:sz w:val="24"/>
        </w:rPr>
        <w:t>Application:</w:t>
      </w:r>
      <w:r>
        <w:rPr>
          <w:rFonts w:ascii="Times New Roman" w:hAnsi="Times New Roman"/>
          <w:b w:val="0"/>
          <w:i w:val="0"/>
          <w:sz w:val="24"/>
        </w:rPr>
        <w:t xml:space="preserve"> No evidentiary hearing produced a finding of serious endangerment. The suspension was based on an ex parte motion filed by Emily Watson (Mother's sister) — not on evidence presented at a hearing where Father could cross-examine witnesses and present his own evidence. As the Michigan Supreme Court held in </w:t>
      </w:r>
      <w:r>
        <w:rPr>
          <w:rFonts w:ascii="Times New Roman" w:hAnsi="Times New Roman"/>
          <w:b w:val="0"/>
          <w:i/>
          <w:sz w:val="24"/>
        </w:rPr>
        <w:t>Harvey v Harvey</w:t>
      </w:r>
      <w:r>
        <w:rPr>
          <w:rFonts w:ascii="Times New Roman" w:hAnsi="Times New Roman"/>
          <w:b w:val="0"/>
          <w:i w:val="0"/>
          <w:sz w:val="24"/>
        </w:rPr>
        <w:t>, 470 Mich 186; 680 NW2d 835 (2004), custody determinations must be based on admissible evidence and proper application of best-interest factors — not on unsworn, untested ex parte allegations. The 204-day suspension (from August 8, 2025 to February 28, 2026), without any endangerment finding, violates the express terms of MCL 722.27a(3) and contravenes the state's public policy of close contact with both parents.</w:t>
      </w:r>
    </w:p>
    <w:p>
      <w:pPr>
        <w:spacing w:line="480" w:lineRule="auto" w:after="0" w:before="0"/>
      </w:pPr>
      <w:r>
        <w:rPr>
          <w:rFonts w:ascii="Times New Roman" w:hAnsi="Times New Roman"/>
          <w:b w:val="0"/>
          <w:i w:val="0"/>
          <w:sz w:val="24"/>
        </w:rPr>
        <w:t xml:space="preserve">Moreover, </w:t>
      </w:r>
      <w:r>
        <w:rPr>
          <w:rFonts w:ascii="Times New Roman" w:hAnsi="Times New Roman"/>
          <w:b/>
          <w:i w:val="0"/>
          <w:sz w:val="24"/>
        </w:rPr>
        <w:t>MCL 722.27a(7)</w:t>
      </w:r>
      <w:r>
        <w:rPr>
          <w:rFonts w:ascii="Times New Roman" w:hAnsi="Times New Roman"/>
          <w:b w:val="0"/>
          <w:i w:val="0"/>
          <w:sz w:val="24"/>
        </w:rPr>
        <w:t xml:space="preserve"> provides an affirmative prohibition: "A parenting time order shall not be considered a change of the established custodial environment and </w:t>
      </w:r>
      <w:r>
        <w:rPr>
          <w:rFonts w:ascii="Times New Roman" w:hAnsi="Times New Roman"/>
          <w:b/>
          <w:i w:val="0"/>
          <w:sz w:val="24"/>
        </w:rPr>
        <w:t>the court shall not deny a parent parenting time with the child unless the court determines by clear and convincing evidence that parenting time would endanger the child's physical, mental, or emotional health.</w:t>
      </w:r>
      <w:r>
        <w:rPr>
          <w:rFonts w:ascii="Times New Roman" w:hAnsi="Times New Roman"/>
          <w:b w:val="0"/>
          <w:i w:val="0"/>
          <w:sz w:val="24"/>
        </w:rPr>
        <w:t xml:space="preserve">" (Emphasis added.) This statutory command is mandatory — the court </w:t>
      </w:r>
      <w:r>
        <w:rPr>
          <w:rFonts w:ascii="Times New Roman" w:hAnsi="Times New Roman"/>
          <w:b w:val="0"/>
          <w:i/>
          <w:sz w:val="24"/>
        </w:rPr>
        <w:t>shall not</w:t>
      </w:r>
      <w:r>
        <w:rPr>
          <w:rFonts w:ascii="Times New Roman" w:hAnsi="Times New Roman"/>
          <w:b w:val="0"/>
          <w:i w:val="0"/>
          <w:sz w:val="24"/>
        </w:rPr>
        <w:t xml:space="preserve"> deny parenting time absent clear and convincing evidence of endangerment. No such evidence exists in this record. The August 8, 2025 ex parte orders were entered without any evidentiary hearing, without sworn testimony, and without a clear-and-convincing-evidence finding. The suspension therefore violates MCL 722.27a(7) as a matter of law.</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suspension must be lifted because it lacks the required statutory finding under both MCL 722.27a(3) and the mandatory prohibition of MCL 722.27a(7).</w:t>
      </w:r>
    </w:p>
    <w:p>
      <w:r>
        <w:br w:type="page"/>
      </w:r>
    </w:p>
    <w:p>
      <w:pPr>
        <w:pStyle w:val="Heading3"/>
      </w:pPr>
      <w:r>
        <w:rPr>
          <w:rFonts w:ascii="Times New Roman" w:hAnsi="Times New Roman"/>
        </w:rPr>
        <w:t>B. The Ex Parte Procedure Violated MCR 3.207(B)</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the ex parte orders comply with MCR 3.207(B).</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MCR 3.207(B) permits ex parte orders in domestic relations matters only where "immediate and irreparable injury, loss, or damage will result" and requires the movant to "certify to the court in writing the efforts, if any, which have been made to give notice." MCR 3.207(B)(3) requires a hearing "within 14 days."</w:t>
      </w:r>
    </w:p>
    <w:p>
      <w:pPr>
        <w:spacing w:line="480" w:lineRule="auto" w:after="0" w:before="0"/>
      </w:pPr>
      <w:r>
        <w:rPr>
          <w:rFonts w:ascii="Times New Roman" w:hAnsi="Times New Roman"/>
          <w:b/>
          <w:i w:val="0"/>
          <w:sz w:val="24"/>
        </w:rPr>
        <w:t>Application:</w:t>
      </w:r>
      <w:r>
        <w:rPr>
          <w:rFonts w:ascii="Times New Roman" w:hAnsi="Times New Roman"/>
          <w:b w:val="0"/>
          <w:i w:val="0"/>
          <w:sz w:val="24"/>
        </w:rPr>
        <w:t xml:space="preserve"> The August 8, 2025 ex parte orders did not comply: - No certification of efforts to give notice appears in the record. - No finding of "immediate and irreparable injury" was made. - No hearing was held within 14 days as required. - The suspension has now lasted </w:t>
      </w:r>
      <w:r>
        <w:rPr>
          <w:rFonts w:ascii="Times New Roman" w:hAnsi="Times New Roman"/>
          <w:b/>
          <w:i w:val="0"/>
          <w:sz w:val="24"/>
        </w:rPr>
        <w:t>204 days</w:t>
      </w:r>
      <w:r>
        <w:rPr>
          <w:rFonts w:ascii="Times New Roman" w:hAnsi="Times New Roman"/>
          <w:b w:val="0"/>
          <w:i w:val="0"/>
          <w:sz w:val="24"/>
        </w:rPr>
        <w:t xml:space="preserve"> (from August 8, 2025 to February 28, 2026) — over 14 times the maximum permitted duration under MCR 3.207(B)(3).</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ex parte orders are procedurally defective and should be vacated.</w:t>
      </w:r>
    </w:p>
    <w:p>
      <w:r>
        <w:br w:type="page"/>
      </w:r>
    </w:p>
    <w:p>
      <w:pPr>
        <w:pStyle w:val="Heading3"/>
      </w:pPr>
      <w:r>
        <w:rPr>
          <w:rFonts w:ascii="Times New Roman" w:hAnsi="Times New Roman"/>
        </w:rPr>
        <w:t>C. The 204-Day Separation Constitutes Irreparable Harm</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the ongoing separation constitutes irreparable harm warranting emergency relief.</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The parent-child relationship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xml:space="preserve">, 530 US 57, 65 (2000). Michigan law recognizes that prolonged separation causes irreparable harm to both parent and child. See </w:t>
      </w:r>
      <w:r>
        <w:rPr>
          <w:rFonts w:ascii="Times New Roman" w:hAnsi="Times New Roman"/>
          <w:b w:val="0"/>
          <w:i/>
          <w:sz w:val="24"/>
        </w:rPr>
        <w:t>Bowie v Arder</w:t>
      </w:r>
      <w:r>
        <w:rPr>
          <w:rFonts w:ascii="Times New Roman" w:hAnsi="Times New Roman"/>
          <w:b w:val="0"/>
          <w:i w:val="0"/>
          <w:sz w:val="24"/>
        </w:rPr>
        <w:t>, 441 Mich 23, 55 (1992) (recognizing significance of stability and continuity in parent-child relationship).</w:t>
      </w:r>
    </w:p>
    <w:p>
      <w:pPr>
        <w:spacing w:line="480" w:lineRule="auto" w:after="0" w:before="0"/>
      </w:pPr>
      <w:r>
        <w:rPr>
          <w:rFonts w:ascii="Times New Roman" w:hAnsi="Times New Roman"/>
          <w:b/>
          <w:i w:val="0"/>
          <w:sz w:val="24"/>
        </w:rPr>
        <w:t>Application:</w:t>
      </w:r>
      <w:r>
        <w:rPr>
          <w:rFonts w:ascii="Times New Roman" w:hAnsi="Times New Roman"/>
          <w:b w:val="0"/>
          <w:i w:val="0"/>
          <w:sz w:val="24"/>
        </w:rPr>
        <w:t xml:space="preserve"> Father has been separated from his children for </w:t>
      </w:r>
      <w:r>
        <w:rPr>
          <w:rFonts w:ascii="Times New Roman" w:hAnsi="Times New Roman"/>
          <w:b/>
          <w:i w:val="0"/>
          <w:sz w:val="24"/>
        </w:rPr>
        <w:t>204 consecutive days</w:t>
      </w:r>
      <w:r>
        <w:rPr>
          <w:rFonts w:ascii="Times New Roman" w:hAnsi="Times New Roman"/>
          <w:b w:val="0"/>
          <w:i w:val="0"/>
          <w:sz w:val="24"/>
        </w:rPr>
        <w:t xml:space="preserve"> (from August 8, 2025 to February 28, 2026). This separation: - Exceeds one and a half years of zero contact - Was imposed without Father's participation in any proceeding - Has caused developmental milestones to be missed - Has damaged the parent-child bond in ways that compound daily - Violates MCL 722.23(j) — the willingness to facilitate the parent-child relationship</w:t>
      </w:r>
    </w:p>
    <w:p>
      <w:pPr>
        <w:spacing w:line="480" w:lineRule="auto" w:after="0" w:before="0"/>
      </w:pPr>
      <w:r>
        <w:rPr>
          <w:rFonts w:ascii="Times New Roman" w:hAnsi="Times New Roman"/>
          <w:b w:val="0"/>
          <w:i w:val="0"/>
          <w:sz w:val="24"/>
        </w:rPr>
        <w:t>Every day that passes without restoration increases the harm exponentially. This is the definition of irreparable injury.</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Emergency restoration of parenting time is warranted.</w:t>
      </w:r>
    </w:p>
    <w:p>
      <w:r>
        <w:br w:type="page"/>
      </w:r>
    </w:p>
    <w:p>
      <w:pPr>
        <w:pStyle w:val="Heading3"/>
      </w:pPr>
      <w:r>
        <w:rPr>
          <w:rFonts w:ascii="Times New Roman" w:hAnsi="Times New Roman"/>
        </w:rPr>
        <w:t>D. The Best Interest Factors Support Restoration</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the MCL 722.23 best interest factors support restoring Father's parenting time.</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MCL 722.23 lists 12 factors (a)-(l). </w:t>
      </w:r>
      <w:r>
        <w:rPr>
          <w:rFonts w:ascii="Times New Roman" w:hAnsi="Times New Roman"/>
          <w:b w:val="0"/>
          <w:i/>
          <w:sz w:val="24"/>
        </w:rPr>
        <w:t>Vodvarka v Grasher</w:t>
      </w:r>
      <w:r>
        <w:rPr>
          <w:rFonts w:ascii="Times New Roman" w:hAnsi="Times New Roman"/>
          <w:b w:val="0"/>
          <w:i w:val="0"/>
          <w:sz w:val="24"/>
        </w:rPr>
        <w:t xml:space="preserve">, 259 Mich App 1 (2003). Critically, the Michigan Supreme Court requires that the trial court conduct a factor-by-factor analysis of each best-interest factor and make specific findings on the record. </w:t>
      </w:r>
      <w:r>
        <w:rPr>
          <w:rFonts w:ascii="Times New Roman" w:hAnsi="Times New Roman"/>
          <w:b w:val="0"/>
          <w:i/>
          <w:sz w:val="24"/>
        </w:rPr>
        <w:t>Sparks v Sparks</w:t>
      </w:r>
      <w:r>
        <w:rPr>
          <w:rFonts w:ascii="Times New Roman" w:hAnsi="Times New Roman"/>
          <w:b w:val="0"/>
          <w:i w:val="0"/>
          <w:sz w:val="24"/>
        </w:rPr>
        <w:t>, 440 Mich 141 (1992). No such factor-by-factor analysis was conducted here.</w:t>
      </w:r>
    </w:p>
    <w:p>
      <w:pPr>
        <w:spacing w:line="480" w:lineRule="auto" w:after="0" w:before="0"/>
      </w:pPr>
      <w:r>
        <w:rPr>
          <w:rFonts w:ascii="Times New Roman" w:hAnsi="Times New Roman"/>
          <w:b/>
          <w:i w:val="0"/>
          <w:sz w:val="24"/>
        </w:rPr>
        <w:t>Application: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Factor</w:t>
            </w:r>
          </w:p>
        </w:tc>
        <w:tc>
          <w:tcPr>
            <w:tcW w:type="dxa" w:w="4680"/>
          </w:tcPr>
          <w:p>
            <w:pPr>
              <w:spacing w:line="240" w:lineRule="auto"/>
            </w:pPr>
            <w:r/>
            <w:r>
              <w:rPr>
                <w:rFonts w:ascii="Times New Roman" w:hAnsi="Times New Roman"/>
                <w:b/>
                <w:sz w:val="24"/>
              </w:rPr>
              <w:t>Analysis</w:t>
            </w:r>
          </w:p>
        </w:tc>
      </w:tr>
      <w:tr>
        <w:tc>
          <w:tcPr>
            <w:tcW w:type="dxa" w:w="4680"/>
          </w:tcPr>
          <w:p>
            <w:pPr>
              <w:spacing w:line="240" w:lineRule="auto"/>
            </w:pPr>
            <w:r/>
            <w:r>
              <w:rPr>
                <w:rFonts w:ascii="Times New Roman" w:hAnsi="Times New Roman"/>
                <w:b/>
                <w:i w:val="0"/>
                <w:sz w:val="24"/>
              </w:rPr>
              <w:t>(a)</w:t>
            </w:r>
            <w:r>
              <w:rPr>
                <w:rFonts w:ascii="Times New Roman" w:hAnsi="Times New Roman"/>
                <w:b w:val="0"/>
                <w:i w:val="0"/>
                <w:sz w:val="24"/>
              </w:rPr>
              <w:t xml:space="preserve"> Love/affection</w:t>
            </w:r>
          </w:p>
        </w:tc>
        <w:tc>
          <w:tcPr>
            <w:tcW w:type="dxa" w:w="4680"/>
          </w:tcPr>
          <w:p>
            <w:pPr>
              <w:spacing w:line="240" w:lineRule="auto"/>
            </w:pPr>
            <w:r/>
            <w:r>
              <w:rPr>
                <w:rFonts w:ascii="Times New Roman" w:hAnsi="Times New Roman"/>
                <w:b w:val="0"/>
                <w:i w:val="0"/>
                <w:sz w:val="24"/>
              </w:rPr>
              <w:t>Father actively exercised parenting time before suspension — strong bond</w:t>
            </w:r>
          </w:p>
        </w:tc>
      </w:tr>
      <w:tr>
        <w:tc>
          <w:tcPr>
            <w:tcW w:type="dxa" w:w="4680"/>
          </w:tcPr>
          <w:p>
            <w:pPr>
              <w:spacing w:line="240" w:lineRule="auto"/>
            </w:pPr>
            <w:r/>
            <w:r>
              <w:rPr>
                <w:rFonts w:ascii="Times New Roman" w:hAnsi="Times New Roman"/>
                <w:b/>
                <w:i w:val="0"/>
                <w:sz w:val="24"/>
              </w:rPr>
              <w:t>(b)</w:t>
            </w:r>
            <w:r>
              <w:rPr>
                <w:rFonts w:ascii="Times New Roman" w:hAnsi="Times New Roman"/>
                <w:b w:val="0"/>
                <w:i w:val="0"/>
                <w:sz w:val="24"/>
              </w:rPr>
              <w:t xml:space="preserve"> Capacity for guidance</w:t>
            </w:r>
          </w:p>
        </w:tc>
        <w:tc>
          <w:tcPr>
            <w:tcW w:type="dxa" w:w="4680"/>
          </w:tcPr>
          <w:p>
            <w:pPr>
              <w:spacing w:line="240" w:lineRule="auto"/>
            </w:pPr>
            <w:r/>
            <w:r>
              <w:rPr>
                <w:rFonts w:ascii="Times New Roman" w:hAnsi="Times New Roman"/>
                <w:b w:val="0"/>
                <w:i w:val="0"/>
                <w:sz w:val="24"/>
              </w:rPr>
              <w:t>Father provided care, guidance, and nurturing prior to suspension</w:t>
            </w:r>
          </w:p>
        </w:tc>
      </w:tr>
      <w:tr>
        <w:tc>
          <w:tcPr>
            <w:tcW w:type="dxa" w:w="4680"/>
          </w:tcPr>
          <w:p>
            <w:pPr>
              <w:spacing w:line="240" w:lineRule="auto"/>
            </w:pPr>
            <w:r/>
            <w:r>
              <w:rPr>
                <w:rFonts w:ascii="Times New Roman" w:hAnsi="Times New Roman"/>
                <w:b/>
                <w:i w:val="0"/>
                <w:sz w:val="24"/>
              </w:rPr>
              <w:t>(c)</w:t>
            </w:r>
            <w:r>
              <w:rPr>
                <w:rFonts w:ascii="Times New Roman" w:hAnsi="Times New Roman"/>
                <w:b w:val="0"/>
                <w:i w:val="0"/>
                <w:sz w:val="24"/>
              </w:rPr>
              <w:t xml:space="preserve"> Provide necessities</w:t>
            </w:r>
          </w:p>
        </w:tc>
        <w:tc>
          <w:tcPr>
            <w:tcW w:type="dxa" w:w="4680"/>
          </w:tcPr>
          <w:p>
            <w:pPr>
              <w:spacing w:line="240" w:lineRule="auto"/>
            </w:pPr>
            <w:r/>
            <w:r>
              <w:rPr>
                <w:rFonts w:ascii="Times New Roman" w:hAnsi="Times New Roman"/>
                <w:b w:val="0"/>
                <w:i w:val="0"/>
                <w:sz w:val="24"/>
              </w:rPr>
              <w:t>Father maintained housing, provided for children's needs</w:t>
            </w:r>
          </w:p>
        </w:tc>
      </w:tr>
      <w:tr>
        <w:tc>
          <w:tcPr>
            <w:tcW w:type="dxa" w:w="4680"/>
          </w:tcPr>
          <w:p>
            <w:pPr>
              <w:spacing w:line="240" w:lineRule="auto"/>
            </w:pPr>
            <w:r/>
            <w:r>
              <w:rPr>
                <w:rFonts w:ascii="Times New Roman" w:hAnsi="Times New Roman"/>
                <w:b/>
                <w:i w:val="0"/>
                <w:sz w:val="24"/>
              </w:rPr>
              <w:t>(d)</w:t>
            </w:r>
            <w:r>
              <w:rPr>
                <w:rFonts w:ascii="Times New Roman" w:hAnsi="Times New Roman"/>
                <w:b w:val="0"/>
                <w:i w:val="0"/>
                <w:sz w:val="24"/>
              </w:rPr>
              <w:t xml:space="preserve"> Stable environment</w:t>
            </w:r>
          </w:p>
        </w:tc>
        <w:tc>
          <w:tcPr>
            <w:tcW w:type="dxa" w:w="4680"/>
          </w:tcPr>
          <w:p>
            <w:pPr>
              <w:spacing w:line="240" w:lineRule="auto"/>
            </w:pPr>
            <w:r/>
            <w:r>
              <w:rPr>
                <w:rFonts w:ascii="Times New Roman" w:hAnsi="Times New Roman"/>
                <w:b w:val="0"/>
                <w:i w:val="0"/>
                <w:sz w:val="24"/>
              </w:rPr>
              <w:t>Children had established custodial environment with Father</w:t>
            </w:r>
          </w:p>
        </w:tc>
      </w:tr>
      <w:tr>
        <w:tc>
          <w:tcPr>
            <w:tcW w:type="dxa" w:w="4680"/>
          </w:tcPr>
          <w:p>
            <w:pPr>
              <w:spacing w:line="240" w:lineRule="auto"/>
            </w:pPr>
            <w:r/>
            <w:r>
              <w:rPr>
                <w:rFonts w:ascii="Times New Roman" w:hAnsi="Times New Roman"/>
                <w:b/>
                <w:i w:val="0"/>
                <w:sz w:val="24"/>
              </w:rPr>
              <w:t>(e)</w:t>
            </w:r>
            <w:r>
              <w:rPr>
                <w:rFonts w:ascii="Times New Roman" w:hAnsi="Times New Roman"/>
                <w:b w:val="0"/>
                <w:i w:val="0"/>
                <w:sz w:val="24"/>
              </w:rPr>
              <w:t xml:space="preserve"> Permanence</w:t>
            </w:r>
          </w:p>
        </w:tc>
        <w:tc>
          <w:tcPr>
            <w:tcW w:type="dxa" w:w="4680"/>
          </w:tcPr>
          <w:p>
            <w:pPr>
              <w:spacing w:line="240" w:lineRule="auto"/>
            </w:pPr>
            <w:r/>
            <w:r>
              <w:rPr>
                <w:rFonts w:ascii="Times New Roman" w:hAnsi="Times New Roman"/>
                <w:b w:val="0"/>
                <w:i w:val="0"/>
                <w:sz w:val="24"/>
              </w:rPr>
              <w:t>Father offers permanent, stable family unit</w:t>
            </w:r>
          </w:p>
        </w:tc>
      </w:tr>
      <w:tr>
        <w:tc>
          <w:tcPr>
            <w:tcW w:type="dxa" w:w="4680"/>
          </w:tcPr>
          <w:p>
            <w:pPr>
              <w:spacing w:line="240" w:lineRule="auto"/>
            </w:pPr>
            <w:r/>
            <w:r>
              <w:rPr>
                <w:rFonts w:ascii="Times New Roman" w:hAnsi="Times New Roman"/>
                <w:b/>
                <w:i w:val="0"/>
                <w:sz w:val="24"/>
              </w:rPr>
              <w:t>(f)</w:t>
            </w:r>
            <w:r>
              <w:rPr>
                <w:rFonts w:ascii="Times New Roman" w:hAnsi="Times New Roman"/>
                <w:b w:val="0"/>
                <w:i w:val="0"/>
                <w:sz w:val="24"/>
              </w:rPr>
              <w:t xml:space="preserve"> Moral fitness</w:t>
            </w:r>
          </w:p>
        </w:tc>
        <w:tc>
          <w:tcPr>
            <w:tcW w:type="dxa" w:w="4680"/>
          </w:tcPr>
          <w:p>
            <w:pPr>
              <w:spacing w:line="240" w:lineRule="auto"/>
            </w:pPr>
            <w:r/>
            <w:r>
              <w:rPr>
                <w:rFonts w:ascii="Times New Roman" w:hAnsi="Times New Roman"/>
                <w:b w:val="0"/>
                <w:i w:val="0"/>
                <w:sz w:val="24"/>
              </w:rPr>
              <w:t>No criminal convictions; no findings of unfitness</w:t>
            </w:r>
          </w:p>
        </w:tc>
      </w:tr>
      <w:tr>
        <w:tc>
          <w:tcPr>
            <w:tcW w:type="dxa" w:w="4680"/>
          </w:tcPr>
          <w:p>
            <w:pPr>
              <w:spacing w:line="240" w:lineRule="auto"/>
            </w:pPr>
            <w:r/>
            <w:r>
              <w:rPr>
                <w:rFonts w:ascii="Times New Roman" w:hAnsi="Times New Roman"/>
                <w:b/>
                <w:i w:val="0"/>
                <w:sz w:val="24"/>
              </w:rPr>
              <w:t>(g)</w:t>
            </w:r>
            <w:r>
              <w:rPr>
                <w:rFonts w:ascii="Times New Roman" w:hAnsi="Times New Roman"/>
                <w:b w:val="0"/>
                <w:i w:val="0"/>
                <w:sz w:val="24"/>
              </w:rPr>
              <w:t xml:space="preserve"> Health</w:t>
            </w:r>
          </w:p>
        </w:tc>
        <w:tc>
          <w:tcPr>
            <w:tcW w:type="dxa" w:w="4680"/>
          </w:tcPr>
          <w:p>
            <w:pPr>
              <w:spacing w:line="240" w:lineRule="auto"/>
            </w:pPr>
            <w:r/>
            <w:r>
              <w:rPr>
                <w:rFonts w:ascii="Times New Roman" w:hAnsi="Times New Roman"/>
                <w:b w:val="0"/>
                <w:i w:val="0"/>
                <w:sz w:val="24"/>
              </w:rPr>
              <w:t>No mental or physical health issues precluding parenting</w:t>
            </w:r>
          </w:p>
        </w:tc>
      </w:tr>
      <w:tr>
        <w:tc>
          <w:tcPr>
            <w:tcW w:type="dxa" w:w="4680"/>
          </w:tcPr>
          <w:p>
            <w:pPr>
              <w:spacing w:line="240" w:lineRule="auto"/>
            </w:pPr>
            <w:r/>
            <w:r>
              <w:rPr>
                <w:rFonts w:ascii="Times New Roman" w:hAnsi="Times New Roman"/>
                <w:b/>
                <w:i w:val="0"/>
                <w:sz w:val="24"/>
              </w:rPr>
              <w:t>(h)</w:t>
            </w:r>
            <w:r>
              <w:rPr>
                <w:rFonts w:ascii="Times New Roman" w:hAnsi="Times New Roman"/>
                <w:b w:val="0"/>
                <w:i w:val="0"/>
                <w:sz w:val="24"/>
              </w:rPr>
              <w:t xml:space="preserve"> School/community</w:t>
            </w:r>
          </w:p>
        </w:tc>
        <w:tc>
          <w:tcPr>
            <w:tcW w:type="dxa" w:w="4680"/>
          </w:tcPr>
          <w:p>
            <w:pPr>
              <w:spacing w:line="240" w:lineRule="auto"/>
            </w:pPr>
            <w:r/>
            <w:r>
              <w:rPr>
                <w:rFonts w:ascii="Times New Roman" w:hAnsi="Times New Roman"/>
                <w:b w:val="0"/>
                <w:i w:val="0"/>
                <w:sz w:val="24"/>
              </w:rPr>
              <w:t>Children's school and community ties include Father</w:t>
            </w:r>
          </w:p>
        </w:tc>
      </w:tr>
      <w:tr>
        <w:tc>
          <w:tcPr>
            <w:tcW w:type="dxa" w:w="4680"/>
          </w:tcPr>
          <w:p>
            <w:pPr>
              <w:spacing w:line="240" w:lineRule="auto"/>
            </w:pPr>
            <w:r/>
            <w:r>
              <w:rPr>
                <w:rFonts w:ascii="Times New Roman" w:hAnsi="Times New Roman"/>
                <w:b/>
                <w:i w:val="0"/>
                <w:sz w:val="24"/>
              </w:rPr>
              <w:t>(i)</w:t>
            </w:r>
            <w:r>
              <w:rPr>
                <w:rFonts w:ascii="Times New Roman" w:hAnsi="Times New Roman"/>
                <w:b w:val="0"/>
                <w:i w:val="0"/>
                <w:sz w:val="24"/>
              </w:rPr>
              <w:t xml:space="preserve"> Child preference</w:t>
            </w:r>
          </w:p>
        </w:tc>
        <w:tc>
          <w:tcPr>
            <w:tcW w:type="dxa" w:w="4680"/>
          </w:tcPr>
          <w:p>
            <w:pPr>
              <w:spacing w:line="240" w:lineRule="auto"/>
            </w:pPr>
            <w:r/>
            <w:r>
              <w:rPr>
                <w:rFonts w:ascii="Times New Roman" w:hAnsi="Times New Roman"/>
                <w:b w:val="0"/>
                <w:i w:val="0"/>
                <w:sz w:val="24"/>
              </w:rPr>
              <w:t>No evidence children expressed preference against Father</w:t>
            </w:r>
          </w:p>
        </w:tc>
      </w:tr>
      <w:tr>
        <w:tc>
          <w:tcPr>
            <w:tcW w:type="dxa" w:w="4680"/>
          </w:tcPr>
          <w:p>
            <w:pPr>
              <w:spacing w:line="240" w:lineRule="auto"/>
            </w:pPr>
            <w:r/>
            <w:r>
              <w:rPr>
                <w:rFonts w:ascii="Times New Roman" w:hAnsi="Times New Roman"/>
                <w:b/>
                <w:i w:val="0"/>
                <w:sz w:val="24"/>
              </w:rPr>
              <w:t>(j)</w:t>
            </w:r>
            <w:r>
              <w:rPr>
                <w:rFonts w:ascii="Times New Roman" w:hAnsi="Times New Roman"/>
                <w:b w:val="0"/>
                <w:i w:val="0"/>
                <w:sz w:val="24"/>
              </w:rPr>
              <w:t xml:space="preserve"> Facilitate relationship</w:t>
            </w:r>
          </w:p>
        </w:tc>
        <w:tc>
          <w:tcPr>
            <w:tcW w:type="dxa" w:w="4680"/>
          </w:tcPr>
          <w:p>
            <w:pPr>
              <w:spacing w:line="240" w:lineRule="auto"/>
            </w:pPr>
            <w:r/>
            <w:r>
              <w:rPr>
                <w:rFonts w:ascii="Times New Roman" w:hAnsi="Times New Roman"/>
                <w:b/>
                <w:i w:val="0"/>
                <w:sz w:val="24"/>
              </w:rPr>
              <w:t>Mother is actively PREVENTING the relationship</w:t>
            </w:r>
            <w:r>
              <w:rPr>
                <w:rFonts w:ascii="Times New Roman" w:hAnsi="Times New Roman"/>
                <w:b w:val="0"/>
                <w:i w:val="0"/>
                <w:sz w:val="24"/>
              </w:rPr>
              <w:t xml:space="preserve"> — Factor J strongly favors Father</w:t>
            </w:r>
          </w:p>
        </w:tc>
      </w:tr>
      <w:tr>
        <w:tc>
          <w:tcPr>
            <w:tcW w:type="dxa" w:w="4680"/>
          </w:tcPr>
          <w:p>
            <w:pPr>
              <w:spacing w:line="240" w:lineRule="auto"/>
            </w:pPr>
            <w:r/>
            <w:r>
              <w:rPr>
                <w:rFonts w:ascii="Times New Roman" w:hAnsi="Times New Roman"/>
                <w:b/>
                <w:i w:val="0"/>
                <w:sz w:val="24"/>
              </w:rPr>
              <w:t>(k)</w:t>
            </w:r>
            <w:r>
              <w:rPr>
                <w:rFonts w:ascii="Times New Roman" w:hAnsi="Times New Roman"/>
                <w:b w:val="0"/>
                <w:i w:val="0"/>
                <w:sz w:val="24"/>
              </w:rPr>
              <w:t xml:space="preserve"> Domestic violence</w:t>
            </w:r>
          </w:p>
        </w:tc>
        <w:tc>
          <w:tcPr>
            <w:tcW w:type="dxa" w:w="4680"/>
          </w:tcPr>
          <w:p>
            <w:pPr>
              <w:spacing w:line="240" w:lineRule="auto"/>
            </w:pPr>
            <w:r/>
            <w:r>
              <w:rPr>
                <w:rFonts w:ascii="Times New Roman" w:hAnsi="Times New Roman"/>
                <w:b w:val="0"/>
                <w:i w:val="0"/>
                <w:sz w:val="24"/>
              </w:rPr>
              <w:t>No finding of domestic violence by Father</w:t>
            </w:r>
          </w:p>
        </w:tc>
      </w:tr>
      <w:tr>
        <w:tc>
          <w:tcPr>
            <w:tcW w:type="dxa" w:w="4680"/>
          </w:tcPr>
          <w:p>
            <w:pPr>
              <w:spacing w:line="240" w:lineRule="auto"/>
            </w:pPr>
            <w:r/>
            <w:r>
              <w:rPr>
                <w:rFonts w:ascii="Times New Roman" w:hAnsi="Times New Roman"/>
                <w:b/>
                <w:i w:val="0"/>
                <w:sz w:val="24"/>
              </w:rPr>
              <w:t>(l)</w:t>
            </w:r>
            <w:r>
              <w:rPr>
                <w:rFonts w:ascii="Times New Roman" w:hAnsi="Times New Roman"/>
                <w:b w:val="0"/>
                <w:i w:val="0"/>
                <w:sz w:val="24"/>
              </w:rPr>
              <w:t xml:space="preserve"> Other factors</w:t>
            </w:r>
          </w:p>
        </w:tc>
        <w:tc>
          <w:tcPr>
            <w:tcW w:type="dxa" w:w="4680"/>
          </w:tcPr>
          <w:p>
            <w:pPr>
              <w:spacing w:line="240" w:lineRule="auto"/>
            </w:pPr>
            <w:r/>
            <w:r>
              <w:rPr>
                <w:rFonts w:ascii="Times New Roman" w:hAnsi="Times New Roman"/>
                <w:b w:val="0"/>
                <w:i w:val="0"/>
                <w:sz w:val="24"/>
              </w:rPr>
              <w:t>204-day separation (from August 8, 2025 to February 28, 2026) is the single most relevant "other" factor</w:t>
            </w:r>
          </w:p>
        </w:tc>
      </w:tr>
    </w:tbl>
    <w:p>
      <w:pPr>
        <w:spacing w:line="480" w:lineRule="auto" w:after="0" w:before="0"/>
      </w:pPr>
      <w:r>
        <w:rPr>
          <w:rFonts w:ascii="Times New Roman" w:hAnsi="Times New Roman"/>
          <w:b w:val="0"/>
          <w:i w:val="0"/>
          <w:sz w:val="24"/>
        </w:rPr>
        <w:t xml:space="preserve">The vast majority of factors favor restoration. Factor (j) — willingness to facilitate the parent-child relationship — is particularly significant: </w:t>
      </w:r>
      <w:r>
        <w:rPr>
          <w:rFonts w:ascii="Times New Roman" w:hAnsi="Times New Roman"/>
          <w:b/>
          <w:i w:val="0"/>
          <w:sz w:val="24"/>
        </w:rPr>
        <w:t>the party who obtained the ex parte suspension is the party who is failing Factor J.</w:t>
      </w:r>
    </w:p>
    <w:p>
      <w:pPr>
        <w:spacing w:line="480" w:lineRule="auto" w:after="0" w:before="0"/>
      </w:pPr>
      <w:r>
        <w:rPr>
          <w:rFonts w:ascii="Times New Roman" w:hAnsi="Times New Roman"/>
          <w:b w:val="0"/>
          <w:i w:val="0"/>
          <w:sz w:val="24"/>
        </w:rPr>
        <w:t xml:space="preserve">Critically, the Court's own best-interest-factor analysis in its earlier order found that "both parents have a strong bond with the minor child" and that "[t]his Factor is equal between the parties" under MCL 722.23(a). </w:t>
      </w:r>
      <w:r>
        <w:rPr>
          <w:rFonts w:ascii="Times New Roman" w:hAnsi="Times New Roman"/>
          <w:b w:val="0"/>
          <w:i/>
          <w:sz w:val="24"/>
        </w:rPr>
        <w:t>See</w:t>
      </w:r>
      <w:r>
        <w:rPr>
          <w:rFonts w:ascii="Times New Roman" w:hAnsi="Times New Roman"/>
          <w:b w:val="0"/>
          <w:i w:val="0"/>
          <w:sz w:val="24"/>
        </w:rPr>
        <w:t xml:space="preserve"> Record, Final Judgment dated August 23, 2024, Best Interest Factor Analysis. This Court's own finding of equal parental bond directly contradicts the total suspension of Father's parenting time — a measure that presupposes a deficiency the Court itself found does not exist.</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The best interest factors overwhelmingly support restoring Father's parenting time.</w:t>
      </w:r>
    </w:p>
    <w:p>
      <w:r>
        <w:br w:type="page"/>
      </w:r>
    </w:p>
    <w:p>
      <w:pPr>
        <w:pStyle w:val="Heading3"/>
      </w:pPr>
      <w:r>
        <w:rPr>
          <w:rFonts w:ascii="Times New Roman" w:hAnsi="Times New Roman"/>
        </w:rPr>
        <w:t>E. MCR 3.303 Authorizes Habeas Corpus to Compel Production of the Child</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Father may invoke habeas corpus to compel production of a child being unlawfully withheld from a parent.</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w:t>
      </w:r>
      <w:r>
        <w:rPr>
          <w:rFonts w:ascii="Times New Roman" w:hAnsi="Times New Roman"/>
          <w:b/>
          <w:i w:val="0"/>
          <w:sz w:val="24"/>
        </w:rPr>
        <w:t>MCR 3.303</w:t>
      </w:r>
      <w:r>
        <w:rPr>
          <w:rFonts w:ascii="Times New Roman" w:hAnsi="Times New Roman"/>
          <w:b w:val="0"/>
          <w:i w:val="0"/>
          <w:sz w:val="24"/>
        </w:rPr>
        <w:t xml:space="preserve"> governs habeas corpus proceedings and authorizes the issuance of a writ of habeas corpus to compel the production of a person who is unlawfully restrained or confined. In the family law context, habeas corpus lies to compel the production of a child who is being withheld from a parent in violation of a court order or in the absence of lawful authority for the detention. </w:t>
      </w:r>
      <w:r>
        <w:rPr>
          <w:rFonts w:ascii="Times New Roman" w:hAnsi="Times New Roman"/>
          <w:b w:val="0"/>
          <w:i/>
          <w:sz w:val="24"/>
        </w:rPr>
        <w:t>See Haton v Haton</w:t>
      </w:r>
      <w:r>
        <w:rPr>
          <w:rFonts w:ascii="Times New Roman" w:hAnsi="Times New Roman"/>
          <w:b w:val="0"/>
          <w:i w:val="0"/>
          <w:sz w:val="24"/>
        </w:rPr>
        <w:t>, 116 Mich App 679, 684 (1982) (habeas corpus available in custody disputes where child is unlawfully detained).</w:t>
      </w:r>
    </w:p>
    <w:p>
      <w:pPr>
        <w:spacing w:line="480" w:lineRule="auto" w:after="0" w:before="0"/>
      </w:pPr>
      <w:r>
        <w:rPr>
          <w:rFonts w:ascii="Times New Roman" w:hAnsi="Times New Roman"/>
          <w:b/>
          <w:i w:val="0"/>
          <w:sz w:val="24"/>
        </w:rPr>
        <w:t>Application:</w:t>
      </w:r>
      <w:r>
        <w:rPr>
          <w:rFonts w:ascii="Times New Roman" w:hAnsi="Times New Roman"/>
          <w:b w:val="0"/>
          <w:i w:val="0"/>
          <w:sz w:val="24"/>
        </w:rPr>
        <w:t xml:space="preserve"> Father's parenting time has been completely suspended for </w:t>
      </w:r>
      <w:r>
        <w:rPr>
          <w:rFonts w:ascii="Times New Roman" w:hAnsi="Times New Roman"/>
          <w:b/>
          <w:i w:val="0"/>
          <w:sz w:val="24"/>
        </w:rPr>
        <w:t>204 consecutive days</w:t>
      </w:r>
      <w:r>
        <w:rPr>
          <w:rFonts w:ascii="Times New Roman" w:hAnsi="Times New Roman"/>
          <w:b w:val="0"/>
          <w:i w:val="0"/>
          <w:sz w:val="24"/>
        </w:rPr>
        <w:t xml:space="preserve"> (from August 8, 2025 to February 28, 2026) based on ex parte orders that failed to comply with MCR 3.207(B) and MCL 722.27a(3). The procedural defects in these orders — no notice, no hearing within 14 days, no finding of serious endangerment — render them legally insufficient to authorize the continued withholding of the children from Father. Where the legal basis for detention is defective, habeas corpus is an available remedy. Father expressly reserves the right to petition for a writ of habeas corpus under MCR 3.303 if this Court does not immediately restore parenting time.</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MCR 3.303 provides Father with an independent procedural vehicle to compel production of the children, and Father reserves this right if parenting time is not restored forthwith.</w:t>
      </w:r>
    </w:p>
    <w:p>
      <w:r>
        <w:br w:type="page"/>
      </w:r>
    </w:p>
    <w:p>
      <w:pPr>
        <w:pStyle w:val="Heading2"/>
      </w:pPr>
      <w:r>
        <w:rPr>
          <w:rFonts w:ascii="Times New Roman" w:hAnsi="Times New Roman"/>
        </w:rPr>
        <w:t>IV. RELIEF REQUESTED</w:t>
      </w:r>
    </w:p>
    <w:p>
      <w:pPr>
        <w:spacing w:line="480" w:lineRule="auto" w:after="0" w:before="0"/>
      </w:pPr>
      <w:r>
        <w:rPr>
          <w:rFonts w:ascii="Times New Roman" w:hAnsi="Times New Roman"/>
          <w:b w:val="0"/>
          <w:i w:val="0"/>
          <w:sz w:val="24"/>
        </w:rPr>
        <w:t>WHEREFORE, Plaintiff respectfully requests that this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Immediately restore Father's parenting time</w:t>
      </w:r>
      <w:r>
        <w:rPr>
          <w:rFonts w:ascii="Times New Roman" w:hAnsi="Times New Roman"/>
          <w:b w:val="0"/>
          <w:i w:val="0"/>
          <w:sz w:val="24"/>
        </w:rPr>
        <w:t xml:space="preserve"> with the minor children on an emergency basis;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Vacate the ex parte orders</w:t>
      </w:r>
      <w:r>
        <w:rPr>
          <w:rFonts w:ascii="Times New Roman" w:hAnsi="Times New Roman"/>
          <w:b w:val="0"/>
          <w:i w:val="0"/>
          <w:sz w:val="24"/>
        </w:rPr>
        <w:t xml:space="preserve"> of August 8, 2025 as procedurally defective under MCR 3.207(B);</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Schedule a full evidentiary hearing</w:t>
      </w:r>
      <w:r>
        <w:rPr>
          <w:rFonts w:ascii="Times New Roman" w:hAnsi="Times New Roman"/>
          <w:b w:val="0"/>
          <w:i w:val="0"/>
          <w:sz w:val="24"/>
        </w:rPr>
        <w:t xml:space="preserve"> within 14 days to determine any necessary conditions on parenting time, applying all 12 factors of MCL 722.23;</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 make-up parenting time</w:t>
      </w:r>
      <w:r>
        <w:rPr>
          <w:rFonts w:ascii="Times New Roman" w:hAnsi="Times New Roman"/>
          <w:b w:val="0"/>
          <w:i w:val="0"/>
          <w:sz w:val="24"/>
        </w:rPr>
        <w:t xml:space="preserve"> pursuant to MCL 722.27a(8) for the 204 days (from August 8, 2025 to February 28, 2026) of denied parenting time;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Grant such other and further relief</w:t>
      </w:r>
      <w:r>
        <w:rPr>
          <w:rFonts w:ascii="Times New Roman" w:hAnsi="Times New Roman"/>
          <w:b w:val="0"/>
          <w:i w:val="0"/>
          <w:sz w:val="24"/>
        </w:rPr>
        <w:t xml:space="preserve"> as this Court deems just and equitable.</w:t>
      </w:r>
    </w:p>
    <w:p>
      <w:r>
        <w:br w:type="page"/>
      </w:r>
    </w:p>
    <w:p>
      <w:pPr>
        <w:pStyle w:val="Heading2"/>
      </w:pPr>
      <w:r>
        <w:rPr>
          <w:rFonts w:ascii="Times New Roman" w:hAnsi="Times New Roman"/>
        </w:rPr>
        <w:t>V. VERIFICATION</w:t>
      </w:r>
    </w:p>
    <w:p>
      <w:pPr>
        <w:spacing w:line="480" w:lineRule="auto" w:after="0" w:before="0"/>
      </w:pPr>
      <w:r>
        <w:rPr>
          <w:rFonts w:ascii="Times New Roman" w:hAnsi="Times New Roman"/>
          <w:b w:val="0"/>
          <w:i w:val="0"/>
          <w:sz w:val="24"/>
        </w:rPr>
        <w:t>I, Andrew Pigors, declare under penalty of perjury that the statements in this motion are true and correct to the best of my knowledge, information, and belief.</w:t>
      </w:r>
    </w:p>
    <w:p>
      <w:r>
        <w:br w:type="page"/>
      </w:r>
    </w:p>
    <w:p>
      <w:pPr>
        <w:spacing w:line="480" w:lineRule="auto" w:after="0" w:before="0"/>
      </w:pPr>
      <w:r>
        <w:rPr>
          <w:rFonts w:ascii="Times New Roman" w:hAnsi="Times New Roman"/>
          <w:b w:val="0"/>
          <w:i w:val="0"/>
          <w:sz w:val="24"/>
        </w:rPr>
        <w:t>Andrew Pigors, Pro Se Date: _______________</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Plaintiff/Appellant, Pro Se 1423 W. Norton Ave Norton Shores, Michigan 49441 Phone: 231-260-1936 Email: andrewjpigors@gmail.com</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VI. CERTIFICATE OF SERVICE</w:t>
      </w:r>
    </w:p>
    <w:p>
      <w:pPr>
        <w:spacing w:line="480" w:lineRule="auto" w:after="0" w:before="0"/>
      </w:pPr>
      <w:r>
        <w:rPr>
          <w:rFonts w:ascii="Times New Roman" w:hAnsi="Times New Roman"/>
          <w:b w:val="0"/>
          <w:i w:val="0"/>
          <w:sz w:val="24"/>
        </w:rPr>
        <w:t>I, Andrew Pigors, certify that on _____________, 2026, I served a true copy of this Emergency Motion to Restore Parenting Time upon:</w:t>
      </w:r>
    </w:p>
    <w:p>
      <w:pPr>
        <w:spacing w:line="480" w:lineRule="auto" w:after="0" w:before="0"/>
      </w:pPr>
      <w:r>
        <w:rPr>
          <w:rFonts w:ascii="Times New Roman" w:hAnsi="Times New Roman"/>
          <w:b/>
          <w:i w:val="0"/>
          <w:sz w:val="24"/>
        </w:rPr>
        <w:t>Tiffany Watson</w:t>
      </w:r>
      <w:r>
        <w:rPr>
          <w:rFonts w:ascii="Times New Roman" w:hAnsi="Times New Roman"/>
          <w:b w:val="0"/>
          <w:i w:val="0"/>
          <w:sz w:val="24"/>
        </w:rPr>
        <w:t xml:space="preserve"> [Address] </w:t>
      </w:r>
      <w:r>
        <w:rPr>
          <w:rFonts w:ascii="Times New Roman" w:hAnsi="Times New Roman"/>
          <w:b w:val="0"/>
          <w:i/>
          <w:sz w:val="24"/>
        </w:rPr>
        <w:t>Via first-class mail, postage prepaid / personal delivery / e-filing</w:t>
      </w:r>
    </w:p>
    <w:p>
      <w:pPr>
        <w:spacing w:line="480" w:lineRule="auto" w:after="0" w:before="0"/>
      </w:pPr>
      <w:r>
        <w:rPr>
          <w:rFonts w:ascii="Times New Roman" w:hAnsi="Times New Roman"/>
          <w:b/>
          <w:i w:val="0"/>
          <w:sz w:val="24"/>
        </w:rPr>
        <w:t>Emily Watson</w:t>
      </w:r>
      <w:r>
        <w:rPr>
          <w:rFonts w:ascii="Times New Roman" w:hAnsi="Times New Roman"/>
          <w:b w:val="0"/>
          <w:i w:val="0"/>
          <w:sz w:val="24"/>
        </w:rPr>
        <w:t xml:space="preserve"> (Agent for Defendant) [Address] </w:t>
      </w:r>
      <w:r>
        <w:rPr>
          <w:rFonts w:ascii="Times New Roman" w:hAnsi="Times New Roman"/>
          <w:b w:val="0"/>
          <w:i/>
          <w:sz w:val="24"/>
        </w:rPr>
        <w:t>Via first-class mail, postage prepaid</w:t>
      </w:r>
    </w:p>
    <w:p>
      <w:r>
        <w:br w:type="page"/>
      </w:r>
    </w:p>
    <w:p>
      <w:pPr>
        <w:spacing w:line="480" w:lineRule="auto" w:after="0" w:before="0"/>
      </w:pPr>
      <w:r>
        <w:rPr>
          <w:rFonts w:ascii="Times New Roman" w:hAnsi="Times New Roman"/>
          <w:b w:val="0"/>
          <w:i w:val="0"/>
          <w:sz w:val="24"/>
        </w:rPr>
        <w:t>Andrew Pigors, Pro Se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