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INDEX – PARENTING TIME ENFORCEMENT &amp; CONTEMPT MOTION</w:t>
      </w:r>
    </w:p>
    <w:p>
      <w:r>
        <w:t>Exhibit A – AppClose Report.pdf</w:t>
        <w:br/>
        <w:t>Text communication log showing parenting time obstruction.</w:t>
        <w:br/>
      </w:r>
    </w:p>
    <w:p>
      <w:r>
        <w:t>Exhibit B – Pigors Transcript. 10.30.24.pdf</w:t>
        <w:br/>
        <w:t>Transcript excerpt showing Respondent was muted and suppressed during hearing.</w:t>
        <w:br/>
      </w:r>
    </w:p>
    <w:p>
      <w:r>
        <w:t>Exhibit C – lori police withhold lincoln.pdf</w:t>
        <w:br/>
        <w:t>Police report showing Lori Watson withheld Lincoln from Respondent.</w:t>
        <w:br/>
      </w:r>
    </w:p>
    <w:p>
      <w:r>
        <w:t>Exhibit D – cody 3-28 security camera screen shot2.png</w:t>
        <w:br/>
        <w:t>Surveillance image showing Cody Watson circling Respondent’s residence.</w:t>
        <w:br/>
      </w:r>
    </w:p>
    <w:p>
      <w:r>
        <w:t>Exhibit E – maria ladas hoopes quotes judicial notice.pdf</w:t>
        <w:br/>
        <w:t>Judicial notice from Judge Hoopes acknowledging procedural or constitutional concerns.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