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</w:r>
    </w:p>
    <w:p>
      <w:pPr>
        <w:jc w:val="center"/>
      </w:pPr>
      <w:r>
        <w:rPr>
          <w:b/>
        </w:rPr>
        <w:t>IN THE CIRCUIT COURT FOR THE COUNTY OF MUSKEGON</w:t>
      </w:r>
    </w:p>
    <w:p/>
    <w:p>
      <w:r>
        <w:rPr>
          <w:b/>
        </w:rPr>
        <w:t>ANDREW J. PIGORS,</w:t>
      </w:r>
    </w:p>
    <w:p>
      <w:r>
        <w:t>Plaintiff,</w:t>
      </w:r>
    </w:p>
    <w:p/>
    <w:p>
      <w:r>
        <w:rPr>
          <w:b/>
        </w:rPr>
        <w:t>v.</w:t>
      </w:r>
    </w:p>
    <w:p/>
    <w:p>
      <w:r>
        <w:rPr>
          <w:b/>
        </w:rPr>
        <w:t>SHADY OAKS PARK MHP, LLC,</w:t>
      </w:r>
    </w:p>
    <w:p>
      <w:r>
        <w:rPr>
          <w:b/>
        </w:rPr>
        <w:t>HOMES OF AMERICA, LLC,</w:t>
      </w:r>
    </w:p>
    <w:p>
      <w:r>
        <w:rPr>
          <w:b/>
        </w:rPr>
        <w:t>ALDEN GLOBAL CAPITAL, LLC,</w:t>
      </w:r>
    </w:p>
    <w:p>
      <w:r>
        <w:rPr>
          <w:b/>
        </w:rPr>
        <w:t>and DOES 1–50 (agents, managers, vendors, contractors, successor/alter-ego entities),</w:t>
      </w:r>
    </w:p>
    <w:p>
      <w:r>
        <w:t>Defendants.</w:t>
      </w:r>
    </w:p>
    <w:p/>
    <w:p>
      <w:pPr>
        <w:jc w:val="right"/>
      </w:pPr>
      <w:r>
        <w:rPr>
          <w:b w:val="0"/>
        </w:rPr>
        <w:t>Case No.: ____________________</w:t>
      </w:r>
    </w:p>
    <w:p>
      <w:pPr>
        <w:jc w:val="right"/>
      </w:pPr>
      <w:r>
        <w:rPr>
          <w:b w:val="0"/>
        </w:rPr>
        <w:t>Hon.: ____________________</w:t>
      </w:r>
    </w:p>
    <w:p/>
    <w:p>
      <w:pPr>
        <w:jc w:val="center"/>
      </w:pPr>
      <w:r>
        <w:rPr>
          <w:b/>
        </w:rPr>
        <w:t>COMPLAINT AND JURY DEMAND</w:t>
      </w:r>
    </w:p>
    <w:p>
      <w:pPr>
        <w:jc w:val="center"/>
      </w:pPr>
      <w:r>
        <w:rPr>
          <w:b/>
        </w:rPr>
        <w:t>(POST-EVICTION TORTS; STATUTORY CONVERSION; TITLE/OWNERSHIP INTERFERENCE;</w:t>
      </w:r>
    </w:p>
    <w:p>
      <w:pPr>
        <w:jc w:val="center"/>
      </w:pPr>
      <w:r>
        <w:rPr>
          <w:b/>
        </w:rPr>
        <w:t>DECLARATORY &amp; INJUNCTIVE RELIEF; FORENSIC ACCOUNTING; ENTERPRISE DISCOVERY)</w:t>
      </w:r>
    </w:p>
    <w:p/>
    <w:p>
      <w:r>
        <w:rPr>
          <w:b/>
        </w:rPr>
        <w:t>I. INTRODUCTION</w:t>
      </w:r>
    </w:p>
    <w:p>
      <w:r>
        <w:t>This is a post-eviction tort and ownership-interference case. Plaintiff alleges Defendants used eviction process as cover to convert and destroy a resident-owned, titled manufactured home and personal property, then asserted “abandonment” and began positioning the home for transfer/sale through counsel notwithstanding Plaintiff’s continuing title ownership. Plaintiff seeks damages, declaratory relief confirming ownership, injunctive relief preventing any “silent title” maneuver, forensic accounting/ledger relief, and enterprise discovery to identify responsible entities and ledger manipulation.</w:t>
      </w:r>
    </w:p>
    <w:p>
      <w:r>
        <w:rPr>
          <w:b/>
        </w:rPr>
        <w:t>II. PARTIES</w:t>
      </w:r>
    </w:p>
    <w:p>
      <w:r>
        <w:t>2.1 Plaintiff Andrew J. Pigors is an adult resident of Muskegon County, Michigan.</w:t>
      </w:r>
    </w:p>
    <w:p>
      <w:r>
        <w:t>2.2 Shady Oaks Park MHP, LLC is alleged to be a nominal license-holder/landlord entity used in filings and notices at Shady Oaks Mobile Home Park.</w:t>
      </w:r>
    </w:p>
    <w:p>
      <w:r>
        <w:t>2.3 Homes of America, LLC is alleged to manage operations through agents and managers, including rent collection, notices, lockout, and post-eviction disposal activity.</w:t>
      </w:r>
    </w:p>
    <w:p>
      <w:r>
        <w:t>2.4 Alden Global Capital, LLC is alleged to control Homes of America and to benefit from the conduct alleged through layered entities.</w:t>
      </w:r>
    </w:p>
    <w:p>
      <w:r>
        <w:t>2.5 DOES 1–50 include individual managers, employees, vendors/contractors, and unknown successor/alter-ego entities involved in the conduct alleged.</w:t>
      </w:r>
    </w:p>
    <w:p>
      <w:r>
        <w:rPr>
          <w:b/>
        </w:rPr>
        <w:t>III. JURISDICTION AND VENUE</w:t>
      </w:r>
    </w:p>
    <w:p>
      <w:r>
        <w:t>3.1 This Court has subject matter jurisdiction. MCL 600.605; MCL 600.611.</w:t>
      </w:r>
    </w:p>
    <w:p>
      <w:r>
        <w:t>3.2 Venue is proper in Muskegon County because the property is located here and the conduct and injuries occurred here.</w:t>
      </w:r>
    </w:p>
    <w:p>
      <w:r>
        <w:rPr>
          <w:b/>
        </w:rPr>
        <w:t>IV. FACTUAL ALLEGATIONS (POST-EVICTION FOCUS)</w:t>
      </w:r>
    </w:p>
    <w:p>
      <w:pPr>
        <w:ind w:firstLine="720"/>
      </w:pPr>
      <w:r>
        <w:t>1. Plaintiff owned a manufactured home located at 1977 Whitehall Rd., Lot 17, Muskegon, Michigan, and leased the lot at Shady Oaks Mobile Home Park.</w:t>
      </w:r>
    </w:p>
    <w:p>
      <w:pPr>
        <w:ind w:firstLine="720"/>
      </w:pPr>
      <w:r>
        <w:t>2. Plaintiff holds (and has continuously held) title to the manufactured home (Exhibit A).</w:t>
      </w:r>
    </w:p>
    <w:p>
      <w:pPr>
        <w:ind w:firstLine="720"/>
      </w:pPr>
      <w:r>
        <w:t>3. After eviction execution (July 2025 timeframe, user-asserted), Defendants and/or their agents allegedly drilled locks, excluded Plaintiff, removed and disposed of personal property (including leaving items for scavenging with a “FREE” sign), and destroyed/damaged the manufactured home, eliminating resale value.</w:t>
      </w:r>
    </w:p>
    <w:p>
      <w:pPr>
        <w:ind w:firstLine="720"/>
      </w:pPr>
      <w:r>
        <w:t>4. Defendants and/or agents represented that Plaintiff did not own the home and that it was “abandoned,” and treated the titled home as if it was park property.</w:t>
      </w:r>
    </w:p>
    <w:p>
      <w:pPr>
        <w:ind w:firstLine="720"/>
      </w:pPr>
      <w:r>
        <w:t>5. Defendants represented to third parties that Defendants’ legal team was processing the matter and would place the home up for sale/transfer based on abandonment, notwithstanding Plaintiff’s title ownership (Exhibit B).</w:t>
      </w:r>
    </w:p>
    <w:p>
      <w:pPr>
        <w:ind w:firstLine="720"/>
      </w:pPr>
      <w:r>
        <w:t>6. Plaintiff alleges Defendants obstructed Plaintiff’s ability to sell/transfer the home by withholding or refusing to provide an intelligible ledger and by maintaining/manipulating ledger entries to show inflated or inconsistent balances, including inconsistent treatment of third-party assistance payments.</w:t>
      </w:r>
    </w:p>
    <w:p>
      <w:pPr>
        <w:ind w:firstLine="720"/>
      </w:pPr>
      <w:r>
        <w:t>7. Plaintiff alleges Defendants used layered and shifting LLC/entity identities through litigation and communications, obscuring responsible parties and frustrating accountability.</w:t>
      </w:r>
    </w:p>
    <w:p>
      <w:r>
        <w:rPr>
          <w:b/>
        </w:rPr>
        <w:t>V. PATTERN ALLEGATIONS (STRUCTURED) — DECLARATORY “SILENT TITLE” TRANSFERS (SEVEN HOMES)</w:t>
      </w:r>
    </w:p>
    <w:p>
      <w:r>
        <w:t>Plaintiff alleges Defendants and related park entities have operated a repeatable “evict → declare abandoned → obtain court order → obtain SOS title → sell/replace → raise rents” mechanism. Plaintiff alleges a filed court action exists in this Circuit seeking court-ordered issuance of Michigan Secretary of State titles for seven purportedly abandoned Shady Oaks mobile homes (the “Seven-Home Filing”).</w:t>
      </w:r>
    </w:p>
    <w:p>
      <w:r>
        <w:t>The Seven-Home Filing (Exhibit C) identifies Shady Oaks lots and serial numbers and requests a court order that substitutes for assigned title when owners cannot be contacted (declaratory-judgment pathway under MCR 2.605). Plaintiff pleads this as pattern evidence of Defendants’ familiarity with and use of court-order-as-title mechanisms and as context for the risk of a similar attempt against Plaintiff’s still-titled home.</w:t>
      </w:r>
    </w:p>
    <w:p>
      <w:r>
        <w:rPr>
          <w:b/>
        </w:rPr>
        <w:t>Structured Pattern Allegations (USER-ASSERTED):</w:t>
      </w:r>
    </w:p>
    <w:p>
      <w:pPr>
        <w:ind w:left="360"/>
      </w:pPr>
      <w:r>
        <w:t>• Pattern Step 1: Evict occupants from lots where residents own manufactured homes.</w:t>
      </w:r>
    </w:p>
    <w:p>
      <w:pPr>
        <w:ind w:left="360"/>
      </w:pPr>
      <w:r>
        <w:t>• Pattern Step 2: Assert “abandonment” and deny resident ownership.</w:t>
      </w:r>
    </w:p>
    <w:p>
      <w:pPr>
        <w:ind w:left="360"/>
      </w:pPr>
      <w:r>
        <w:t>• Pattern Step 3: Initiate declaratory action(s) requesting a court order identifying year/make/serial and awarding ownership to permit SOS title issuance.</w:t>
      </w:r>
    </w:p>
    <w:p>
      <w:pPr>
        <w:ind w:left="360"/>
      </w:pPr>
      <w:r>
        <w:t>• Pattern Step 4: Market/sell the home or remove/replace with new manufactured home inventory.</w:t>
      </w:r>
    </w:p>
    <w:p>
      <w:pPr>
        <w:ind w:left="360"/>
      </w:pPr>
      <w:r>
        <w:t>• Pattern Step 5: Increase lot rents materially after turnover while deferring infrastructure maintenance and limiting management presence.</w:t>
      </w:r>
    </w:p>
    <w:p>
      <w:pPr>
        <w:ind w:left="360"/>
      </w:pPr>
      <w:r>
        <w:t>• Pattern Step 6: Use ledger opacity and charge manipulation to block resident sales and to extract additional payments or to force forfeiture.</w:t>
      </w:r>
    </w:p>
    <w:p>
      <w:r>
        <w:rPr>
          <w:b/>
        </w:rPr>
        <w:t>VI. FORENSIC ACCOUNTING / LEDGER DEMAND (EQUITABLE RELIEF)</w:t>
      </w:r>
    </w:p>
    <w:p>
      <w:r>
        <w:t>Plaintiff seeks an order compelling Defendants to produce a complete and intelligible accounting for all sums charged, credited, and collected relating to Plaintiff and Lot 17, including a full ledger, charge authority, rate schedules, utility allocation records, vendor invoices, rent-assistance postings, offsets/credits, reversals, and internal audit trails reflecting adjustments and who made them, as well as portal/payment processor logs.</w:t>
      </w:r>
    </w:p>
    <w:p>
      <w:r>
        <w:rPr>
          <w:b/>
        </w:rPr>
        <w:t>VII. ENTERPRISE-ENTITY DISCOVERY DEMANDS (EQUITABLE RELIEF)</w:t>
      </w:r>
    </w:p>
    <w:p>
      <w:r>
        <w:t>Plaintiff seeks enterprise discovery sufficient to identify responsible actors and pierce entity opacity, including disclosure of all entities operating/owning/managing/collecting at Shady Oaks; management agreements; vendor/eviction/haul-away contracts; communications with counsel/governmental agencies; declaratory-title action files (service/publication/orders/SOS submissions); rent/fee schedules; and incident reports.</w:t>
      </w:r>
    </w:p>
    <w:p>
      <w:r>
        <w:rPr>
          <w:b/>
        </w:rPr>
        <w:t>VIII. CLAIMS FOR RELIEF</w:t>
      </w:r>
    </w:p>
    <w:p>
      <w:r>
        <w:rPr>
          <w:b/>
        </w:rPr>
        <w:t>COUNT I — STATUTORY CONVERSION (MCL 600.2919a)</w:t>
      </w:r>
    </w:p>
    <w:p>
      <w:r>
        <w:t>Defendants converted Plaintiff’s property within the meaning of MCL 600.2919a, entitling Plaintiff to three times actual damages plus costs and reasonable attorney fees where applicable.</w:t>
      </w:r>
    </w:p>
    <w:p>
      <w:r>
        <w:rPr>
          <w:b/>
        </w:rPr>
        <w:t>COUNT II — CONVERSION (COMMON LAW)</w:t>
      </w:r>
    </w:p>
    <w:p>
      <w:r>
        <w:t>Defendants intentionally exercised dominion or control over Plaintiff’s personal property and the manufactured home inconsistent with Plaintiff’s rights, causing damages.</w:t>
      </w:r>
    </w:p>
    <w:p>
      <w:r>
        <w:rPr>
          <w:b/>
        </w:rPr>
        <w:t>COUNT III — UNLAWFUL INTERFERENCE / ANTI-LOCKOUT (MCL 600.2918)</w:t>
      </w:r>
    </w:p>
    <w:p>
      <w:r>
        <w:t>Defendants unlawfully interfered with Plaintiff’s possessory interest by lockout, exclusion, and/or removal/destruction beyond lawful process, entitling Plaintiff to statutory damages and equitable relief.</w:t>
      </w:r>
    </w:p>
    <w:p>
      <w:r>
        <w:rPr>
          <w:b/>
        </w:rPr>
        <w:t>COUNT IV — PROPERTY DAMAGE / TRESPASS TO CHATTELS</w:t>
      </w:r>
    </w:p>
    <w:p>
      <w:r>
        <w:t>Defendants damaged and destroyed Plaintiff’s tangible property, proximately causing economic loss and consequential damages.</w:t>
      </w:r>
    </w:p>
    <w:p>
      <w:r>
        <w:rPr>
          <w:b/>
        </w:rPr>
        <w:t>COUNT V — SLANDER OF TITLE / TITLE DISPARAGEMENT (COMMON LAW; MCL 565.108)</w:t>
      </w:r>
    </w:p>
    <w:p>
      <w:r>
        <w:t>Defendants published false statements disparaging Plaintiff’s ownership rights (including abandonment and non-ownership representations), with malice and resulting special damages.</w:t>
      </w:r>
    </w:p>
    <w:p>
      <w:r>
        <w:rPr>
          <w:b/>
        </w:rPr>
        <w:t>COUNT VI — FRAUD / MISREPRESENTATION (OWNERSHIP/ABANDONMENT)</w:t>
      </w:r>
    </w:p>
    <w:p>
      <w:r>
        <w:t>Defendants made material misrepresentations about ownership/abandonment intending reliance to facilitate transfer/sale and defeat Plaintiff’s rights, causing damages.</w:t>
      </w:r>
    </w:p>
    <w:p>
      <w:r>
        <w:rPr>
          <w:b/>
        </w:rPr>
        <w:t>COUNT VII — CIVIL CONSPIRACY (DERIVATIVE)</w:t>
      </w:r>
    </w:p>
    <w:p>
      <w:r>
        <w:t>Defendants and agents acted in concert to commit the unlawful acts alleged and are jointly and severally liable.</w:t>
      </w:r>
    </w:p>
    <w:p>
      <w:r>
        <w:rPr>
          <w:b/>
        </w:rPr>
        <w:t>COUNT VIII — UNJUST ENRICHMENT (ALTERNATIVE)</w:t>
      </w:r>
    </w:p>
    <w:p>
      <w:r>
        <w:t>Defendants were unjustly enriched by taking and disposing of Plaintiff’s property and appropriating the value of Plaintiff’s titled home; equity requires restitution.</w:t>
      </w:r>
    </w:p>
    <w:p>
      <w:r>
        <w:rPr>
          <w:b/>
        </w:rPr>
        <w:t>IX. DECLARATORY AND INJUNCTIVE RELIEF</w:t>
      </w:r>
    </w:p>
    <w:p>
      <w:r>
        <w:t>Plaintiff seeks: (a) a declaration confirming Plaintiff remains the titled owner; (b) TRO/PI/permanent injunction prohibiting transfer, encumbrance, listing, sale, removal, or disposal; (c) an injunction prohibiting Defendants from initiating or pursuing any declaratory “silent title” proceeding (including filings under MCR 2.605) or submitting any paperwork to SOS asserting abandonment or ownership adverse to Plaintiff; and (d) evidence-preservation and anti-spoliation orders, including ledger and audit-trail preservation.</w:t>
      </w:r>
    </w:p>
    <w:p>
      <w:r>
        <w:rPr>
          <w:b/>
        </w:rPr>
        <w:t>X. JURY DEMAND</w:t>
      </w:r>
    </w:p>
    <w:p>
      <w:r>
        <w:t>Plaintiff demands trial by jury on all issues so triable. MCR 2.508(A).</w:t>
      </w:r>
    </w:p>
    <w:p>
      <w:r>
        <w:rPr>
          <w:b/>
        </w:rPr>
        <w:t>XI. PRAYER FOR RELIEF</w:t>
      </w:r>
    </w:p>
    <w:p>
      <w:pPr>
        <w:ind w:left="360"/>
      </w:pPr>
      <w:r>
        <w:t>• Enter judgment for Plaintiff on all counts.</w:t>
      </w:r>
    </w:p>
    <w:p>
      <w:pPr>
        <w:ind w:left="360"/>
      </w:pPr>
      <w:r>
        <w:t>• Award actual damages, treble damages where authorized, and all costs/fees where authorized by statute.</w:t>
      </w:r>
    </w:p>
    <w:p>
      <w:pPr>
        <w:ind w:left="360"/>
      </w:pPr>
      <w:r>
        <w:t>• Enter declaratory relief confirming Plaintiff’s title ownership.</w:t>
      </w:r>
    </w:p>
    <w:p>
      <w:pPr>
        <w:ind w:left="360"/>
      </w:pPr>
      <w:r>
        <w:t>• Enter TRO/PI/permanent injunction preventing transfer/encumbrance/disposal and prohibiting any declaratory “silent title” or SOS submission adverse to Plaintiff’s title.</w:t>
      </w:r>
    </w:p>
    <w:p>
      <w:pPr>
        <w:ind w:left="360"/>
      </w:pPr>
      <w:r>
        <w:t>• Order forensic accounting/complete ledger production and related audit-trail production.</w:t>
      </w:r>
    </w:p>
    <w:p>
      <w:pPr>
        <w:ind w:left="360"/>
      </w:pPr>
      <w:r>
        <w:t>• Order enterprise discovery and compel identification of all responsible entities and agents.</w:t>
      </w:r>
    </w:p>
    <w:p>
      <w:pPr>
        <w:ind w:left="360"/>
      </w:pPr>
      <w:r>
        <w:t>• Grant all other relief the Court deems just.</w:t>
      </w:r>
    </w:p>
    <w:p>
      <w:r>
        <w:rPr>
          <w:b/>
        </w:rPr>
        <w:t>XII. VERIFICATION</w:t>
      </w:r>
    </w:p>
    <w:p>
      <w:r>
        <w:t>I declare under penalty of perjury that the foregoing is true to the best of my information, knowledge, and belief.</w:t>
      </w:r>
    </w:p>
    <w:p/>
    <w:p>
      <w:r>
        <w:t>Dated: February 26, 2026</w:t>
      </w:r>
    </w:p>
    <w:p>
      <w:r>
        <w:t>__________________________________</w:t>
      </w:r>
    </w:p>
    <w:p>
      <w:r>
        <w:t>Andrew J. Pigors, in pro per</w:t>
      </w:r>
    </w:p>
    <w:p>
      <w:r>
        <w:t>1977 Whitehall Rd., Lot 17, Muskegon, MI 49445</w:t>
      </w:r>
    </w:p>
    <w:p>
      <w:r>
        <w:t>Phone: 231-903-5690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