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CANON VIOLATION BINDER: COERCED LEASE ENFORCEMENT</w:t>
      </w:r>
    </w:p>
    <w:p>
      <w:r>
        <w:br/>
        <w:t>This binder documents judicial conduct and due process violations associated with the enforcement of a lease signed under coercion during an active EGLE health violation period. The lease was signed under pressure, off-site, without clarity of legal entity, and under threat of housing loss. Enforcement of such a lease implicates:</w:t>
        <w:br/>
        <w:br/>
        <w:t>- Canon 1: Failure to uphold integrity and independence of judiciary</w:t>
        <w:br/>
        <w:t>- Canon 2(B): Lending judicial prestige to advance private interests</w:t>
        <w:br/>
        <w:t>- Canon 3(A)(4): Denial of reasonable opportunity to present claims and evidence</w:t>
        <w:br/>
        <w:t>- Canon 3(B)(5): Disregard of facts showing fraud, duress, and procedural violation</w:t>
        <w:br/>
        <w:br/>
        <w:t>The attached documentation includes: timeline cross-matches, emails (Kim Davis, Nicole Browley), EGLE notice, and transaction logs.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