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MOTION TO STRIKE COERCED LEASE</w:t>
      </w:r>
    </w:p>
    <w:p>
      <w:r>
        <w:br/>
        <w:t>NOW COMES Plaintiff, ANDREW J. PIGORS, in pro per, and respectfully moves this Honorable Court to strike from the record any and all lease documents or lease-based claims originating from the March 2024 lease signing allegedly entered into with Cricklewood MHP LLC.</w:t>
        <w:br/>
        <w:br/>
        <w:t>This lease was signed under duress, without free and voluntary consent, during a time of active environmental violations at Plaintiff’s residence, including an EGLE-confirmed sewage leak. The lease-signing was conducted off-site at a separate park (Cricklewood, in Ravenna), under threat of eviction, and involved corporate entities not disclosed to the Plaintiff at the time of signing.</w:t>
        <w:br/>
        <w:br/>
        <w:t>The lease was executed by Kim Davis of Homes of America, with no clear nexus to the named eviction filer. Pursuant to MCL 600.5720 and Michigan landlord-tenant due process protections, this lease constitutes a constructive eviction and must be stricken.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