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Index for Custody and PPO Proceedings</w:t>
      </w:r>
    </w:p>
    <w:p>
      <w:pPr>
        <w:pStyle w:val="Heading2"/>
      </w:pPr>
      <w:r>
        <w:t>I. Custody-Related Evidence</w:t>
      </w:r>
    </w:p>
    <w:p>
      <w:r>
        <w:t>**2024-03-26 to 2024-05-02**: Emily withheld LDW for 36 consecutive days, violating the informal week-on/week-off custody arrangement. Lori Watson told Andrew, "If you want to see your son again, you will have to go through the court."</w:t>
        <w:br/>
        <w:t xml:space="preserve">    - Text messages demonstrating denial of parenting time.</w:t>
        <w:br/>
        <w:t xml:space="preserve">    - Police report OCA #2024-01365 documenting Andrew’s welfare check request.</w:t>
        <w:br/>
        <w:br/>
        <w:t>**2024-10-20**: Albert Watson, acting on Emily’s behalf, aggressively served a PPO violation notice during a custody exchange, mocking Andrew and creating a hostile environment.</w:t>
        <w:br/>
        <w:t xml:space="preserve">    - Police report OCA #2024-08215.</w:t>
        <w:br/>
        <w:t xml:space="preserve">    - Witness statements from the parenting exchange.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