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br/>
        <w:t>IN THE 14TH CIRCUIT COURT FOR THE COUNTY OF MUSKEGON</w:t>
        <w:br/>
        <w:br/>
        <w:t>ANDREW J. PIGORS,</w:t>
        <w:br/>
        <w:t>Plaintiff, in pro per</w:t>
        <w:br/>
        <w:br/>
        <w:t xml:space="preserve">v.                                               </w:t>
        <w:br/>
        <w:t>Case No. 2024-001507-DC</w:t>
        <w:br/>
        <w:t>Hon. Jenny L. McNeill</w:t>
        <w:br/>
        <w:br/>
        <w:t>EMILY A. WATSON,</w:t>
        <w:br/>
        <w:t>Defendant.</w:t>
        <w:br/>
        <w:br/>
        <w:t>EX PARTE MOTION FOR REVIEW AND MODIFICATION OF CUSTODY ORDER DUE TO MATERIAL CHANGE OF CIRCUMSTANCES</w:t>
        <w:br/>
        <w:br/>
        <w:t>NOW COMES Plaintiff, ANDREW J. PIGORS, in pro per, and pursuant to MCL 722.27(1)(c), MCR 3.207(A), and relevant case law including Vodvarka v. Grasmeyer, 259 Mich App 499 (2003), respectfully moves this Honorable Court for an Ex Parte Order to review and modify the existing custody and parenting time arrangement. In support thereof, Plaintiff states as follows:</w:t>
        <w:br/>
        <w:br/>
        <w:t>I. LEGAL STANDARD</w:t>
        <w:br/>
        <w:t>1. Under MCL 722.27(1)(c), a court shall not modify or amend a previous judgment or order for custody or parenting time unless presented with proper cause or a change of circumstances.</w:t>
        <w:br/>
        <w:br/>
        <w:t>2. The Michigan Court of Appeals in Vodvarka v. Grasmeyer held that a change of circumstances must be significant, not ordinary, and must have or could have a material effect on the child’s well-being.</w:t>
        <w:br/>
        <w:br/>
        <w:t>3. A material misrepresentation of fact used in the original custody determination constitutes such a change of circumstance and is grounds for automatic review.</w:t>
        <w:br/>
        <w:br/>
        <w:t>II. NEW MATERIAL FACT ON THE JUDICIAL RECORD</w:t>
        <w:br/>
        <w:t>4. On April 14, 2025, during a hearing before Hon. Maria Ladas Hoopes, it was placed on the judicial record that Plaintiff paid rent in full and on time for every month of the 2024 calendar year (January through December).</w:t>
        <w:br/>
        <w:br/>
        <w:t>5. This fact directly contradicts the foundation of the custody ruling issued by Hon. Jenny L. McNeill, which referenced alleged housing instability as grounds for reducing Plaintiff’s parenting time.</w:t>
        <w:br/>
        <w:br/>
        <w:t>6. The misrepresentation of Plaintiff's housing status materially altered the custody outcome and deprived the minor child of a stable and consistent relationship with Plaintiff.</w:t>
        <w:br/>
        <w:br/>
        <w:t>6d. Defendant withheld the child from Plaintiff between March 26, 2024, and May 5, 2024, totaling over five weeks of denied parenting time. This denial was acknowledged during trial proceedings, yet no remedy was provided as it occurred prior to the issuance of the current order.</w:t>
        <w:br/>
        <w:br/>
        <w:t>6e. From October 20, 2024, to November 15, 2024, Defendant again withheld the child, repeating her obstruction. These two incidents cumulatively amount to nearly two months of alienated parenting time, reinforcing a pattern of intentional interference.</w:t>
        <w:br/>
        <w:br/>
        <w:t>6f. Defendant has also engaged in psychological manipulation by encouraging or permitting the child to refer to her current partner, Ron Berry, as “Dad.” This conduct actively undermines Plaintiff’s relationship with his son and confuses the child’s parental identity in violation of MCL 722.23(j) and (k).</w:t>
        <w:br/>
        <w:br/>
        <w:t>III. BASIS FOR MODIFICATION</w:t>
        <w:br/>
        <w:t>7. The custody order must be reviewed to determine whether the Court's previous decision was predicated on erroneous or now-refuted assumptions, particularly those that adversely impacted Plaintiff’s credibility or parenting capacity.</w:t>
        <w:br/>
        <w:br/>
        <w:t>8. This newly judicially-acknowledged fact (rent paid in full) represents a change of circumstances that warrants reassessment of the best interests of the child under MCL 722.23.</w:t>
        <w:br/>
        <w:br/>
        <w:t>9. Additionally, Defendant has demonstrated ongoing refusal to facilitate parenting time and a pattern of alienation, including refusal to provide make-up time and blocking communication, which further necessitates judicial scrutiny.</w:t>
        <w:br/>
        <w:br/>
        <w:t>IV. BASIS FOR EX PARTE RELIEF</w:t>
        <w:br/>
        <w:t>10. Pursuant to MCR 3.207(A), an ex parte motion may be granted without a hearing where immediate action is necessary to prevent irreparable harm or injustice.</w:t>
        <w:br/>
        <w:br/>
        <w:t>11. The continued enforcement of a custody order that is factually undermined by recent judicial admissions (regarding rent stability) and that limits Plaintiff's access to the minor child constitutes irreparable harm to both Plaintiff and the child.</w:t>
        <w:br/>
        <w:br/>
        <w:t>12. Plaintiff has met the procedural and evidentiary threshold for emergency relief.</w:t>
        <w:br/>
        <w:br/>
        <w:t>V. RELIEF REQUESTED</w:t>
        <w:br/>
        <w:t>WHEREFORE, Plaintiff respectfully requests that this Honorable Court, on an ex parte basis:</w:t>
        <w:br/>
        <w:br/>
        <w:t>A. Review the existing custody and parenting time order under MCL 722.27(1)(c);</w:t>
        <w:br/>
        <w:t>B. Schedule an evidentiary hearing to consider this newly established material fact and whether the current arrangement continues to serve the child’s best interests;</w:t>
        <w:br/>
        <w:t>C. Grant any further relief this Court deems just and appropriate.</w:t>
        <w:br/>
        <w:br/>
        <w:t>Respectfully submitted,</w:t>
        <w:br/>
        <w:br/>
        <w:t>Andrew J. Pigors</w:t>
        <w:br/>
        <w:t>1977 Whitehall Rd Lot 17</w:t>
        <w:br/>
        <w:t>Muskegon, MI 49445</w:t>
        <w:br/>
        <w:t>(231) 903-5690</w:t>
        <w:br/>
        <w:t>andrewjpigors@gmail.com</w:t>
        <w:br/>
        <w:t>Plaintiff, in pro per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