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A1 Easter Parenting Time Refusal</w:t>
      </w:r>
    </w:p>
    <w:p>
      <w:r>
        <w:t>Embedded Evidence:</w:t>
      </w:r>
    </w:p>
    <w:p>
      <w:r>
        <w:t>This exhibit references the following file, which has been attached as evidentiary support:</w:t>
      </w:r>
    </w:p>
    <w:p>
      <w:pPr>
        <w:pStyle w:val="IntenseQuote"/>
      </w:pPr>
      <w:r>
        <w:t>📎 appclose easter parenting time refusal.pdf</w:t>
      </w:r>
    </w:p>
    <w:p>
      <w:r>
        <w:br/>
        <w:t>This document has been filed in accordance with Michigan Rules of Evidence and the Muskegon County procedural filing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