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</w:t>
      </w:r>
    </w:p>
    <w:p>
      <w:pPr>
        <w:pStyle w:val="Title"/>
      </w:pPr>
      <w:r>
        <w:t>AppClose Message Log – Easter Parenting Time Refusal</w:t>
      </w:r>
    </w:p>
    <w:p>
      <w:pPr/>
      <w:r>
        <w:t>Filed in Support of:</w:t>
        <w:br/>
        <w:t>Motion to Modify Custody, Parenting Time, and Child Support</w:t>
      </w:r>
    </w:p>
    <w:p>
      <w:pPr>
        <w:pStyle w:val="Heading2"/>
      </w:pPr>
      <w:r>
        <w:t>Summary:</w:t>
      </w:r>
    </w:p>
    <w:p>
      <w:pPr/>
      <w:r>
        <w:t>Screenshot of AppClose communications documenting denial of parenting time.</w:t>
      </w:r>
    </w:p>
    <w:p>
      <w:pPr/>
      <w:r>
        <w:br/>
        <w:t>Submitted by:</w:t>
        <w:br/>
        <w:t>Andrew J. Pigors</w:t>
        <w:br/>
        <w:t>Executed on April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