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C</w:t>
      </w:r>
    </w:p>
    <w:p>
      <w:pPr>
        <w:pStyle w:val="Title"/>
      </w:pPr>
      <w:r>
        <w:t>Narrative Summary – Alienation and Obstruction</w:t>
      </w:r>
    </w:p>
    <w:p>
      <w:pPr/>
      <w:r>
        <w:t>Filed in Support of:</w:t>
        <w:br/>
        <w:t>Motion to Modify Custody, Parenting Time, and Child Support</w:t>
      </w:r>
    </w:p>
    <w:p>
      <w:pPr>
        <w:pStyle w:val="Heading2"/>
      </w:pPr>
      <w:r>
        <w:t>Summary:</w:t>
      </w:r>
    </w:p>
    <w:p>
      <w:pPr/>
      <w:r>
        <w:t>Pattern of behavior including PPO misuse, refusal of communication, and interference with child’s stability.</w:t>
      </w:r>
    </w:p>
    <w:p>
      <w:pPr/>
      <w:r>
        <w:br/>
        <w:t>Submitted by:</w:t>
        <w:br/>
        <w:t>Andrew J. Pigors</w:t>
        <w:br/>
        <w:t>Executed on April 18,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