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</w:t>
      </w:r>
    </w:p>
    <w:p>
      <w:r>
        <w:t>Related to: Verified Ex Parte Motion to Modify Custody, Parenting Time, and Child Support</w:t>
        <w:br/>
      </w:r>
    </w:p>
    <w:p>
      <w:pPr>
        <w:pStyle w:val="ListBullet"/>
      </w:pPr>
      <w:r>
        <w:t>Exhibit A: Affidavit of Established Custodial Environment (ECE) – Andrew Pigors</w:t>
      </w:r>
    </w:p>
    <w:p>
      <w:pPr>
        <w:pStyle w:val="ListBullet"/>
      </w:pPr>
      <w:r>
        <w:t>Exhibit B: Timeline of Withheld Parenting Time – Mar 26 to May 2; Oct 20 to Nov 15; Apr 6 to Present</w:t>
      </w:r>
    </w:p>
    <w:p>
      <w:pPr>
        <w:pStyle w:val="ListBullet"/>
      </w:pPr>
      <w:r>
        <w:t>Exhibit C: Friend of the Court Recommendation – Prior 50/50 Parenting Time</w:t>
      </w:r>
    </w:p>
    <w:p>
      <w:pPr>
        <w:pStyle w:val="ListBullet"/>
      </w:pPr>
      <w:r>
        <w:t>Exhibit D: AppClose Logs – Emily Watson refusing contact, makeup time, and updates</w:t>
      </w:r>
    </w:p>
    <w:p>
      <w:pPr>
        <w:pStyle w:val="ListBullet"/>
      </w:pPr>
      <w:r>
        <w:t>Exhibit E: Port City Pediatrics Statement – Last medical visit, unpaid balance, denied access</w:t>
      </w:r>
    </w:p>
    <w:p>
      <w:pPr>
        <w:pStyle w:val="ListBullet"/>
      </w:pPr>
      <w:r>
        <w:t>Exhibit F: Child Support Payment Records – $88/week + $95/week insurance</w:t>
      </w:r>
    </w:p>
    <w:p>
      <w:pPr>
        <w:pStyle w:val="ListBullet"/>
      </w:pPr>
      <w:r>
        <w:t>Exhibit G: Evidence of PPO misuse interfering with custody rights</w:t>
      </w:r>
    </w:p>
    <w:p>
      <w:pPr>
        <w:pStyle w:val="ListBullet"/>
      </w:pPr>
      <w:r>
        <w:t>Exhibit H: MCL 722.23 – Best Interest Factors analysis chart (submitted separately)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