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OF [YOUR FULL NAME] - PART 2</w:t>
      </w:r>
    </w:p>
    <w:p>
      <w:r>
        <w:t>2. Respondent’s actions, including withholding parenting time, have directly harmed LDW’s emotional and developmental health.</w:t>
      </w:r>
    </w:p>
    <w:p>
      <w:r>
        <w:t>3. Witness testimonies support Petitioner’s stable, child-centered parenting and highlight the instability within Respondent’s household.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