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1"/>
      </w:pPr>
      <w:r>
        <w:t>IN THE 14TH CIRCUIT COURT FOR THE COUNTY OF MUSKEGON</w:t>
      </w:r>
    </w:p>
    <w:p>
      <w:pPr>
        <w:pStyle w:val="Heading2"/>
      </w:pPr>
      <w:r>
        <w:t>FAMILY DIVISION</w:t>
      </w:r>
    </w:p>
    <w:p>
      <w:r>
        <w:t>Case No.: 2024-001507-DC</w:t>
      </w:r>
    </w:p>
    <w:p>
      <w:r>
        <w:t>Honorable Judge Jenny McNeill</w:t>
      </w:r>
    </w:p>
    <w:p>
      <w:r>
        <w:t>PLAINTIFF:</w:t>
      </w:r>
    </w:p>
    <w:p>
      <w:r>
        <w:t>Andrew J. Pigors</w:t>
      </w:r>
    </w:p>
    <w:p>
      <w:r>
        <w:t>1977 Whitehall Rd, Lot 17</w:t>
      </w:r>
    </w:p>
    <w:p>
      <w:r>
        <w:t>Muskegon, MI 49445</w:t>
      </w:r>
    </w:p>
    <w:p>
      <w:r>
        <w:t>231-903-5690 | andrewjpigors@gmail.com</w:t>
      </w:r>
    </w:p>
    <w:p>
      <w:r>
        <w:br/>
        <w:t>DEFENDANT:</w:t>
      </w:r>
    </w:p>
    <w:p>
      <w:r>
        <w:t>Emily A. Watson</w:t>
      </w:r>
    </w:p>
    <w:p>
      <w:r>
        <w:t>2160 Garland Dr., Norton Shores, MI 49441</w:t>
      </w:r>
    </w:p>
    <w:p>
      <w:r>
        <w:t>231-683-7107 | watsone104@msn.com</w:t>
      </w:r>
    </w:p>
    <w:p>
      <w:pPr>
        <w:pStyle w:val="Heading1"/>
      </w:pPr>
      <w:r>
        <w:t>MOTION FOR CUSTODY MODIFICATION: ANALYSIS UNDER MCL 722.23</w:t>
      </w:r>
    </w:p>
    <w:p>
      <w:pPr>
        <w:pStyle w:val="Heading2"/>
      </w:pPr>
      <w:r>
        <w:t>I. Introduction</w:t>
      </w:r>
    </w:p>
    <w:p>
      <w:r>
        <w:t>NOW COMES Plaintiff, Andrew J. Pigors, representing himself in propria persona, and respectfully submits this Motion to Modify Custody pursuant to MCL 722.23, MCL 722.27, and Michigan Court Rules (MCR) 3.211. Plaintiff asserts that modification of custody, parenting time, and related orders is in the best interests of the minor child, LDW, born November 2022. This motion is grounded in substantial evidence and an analysis of the 12 best interest factors.</w:t>
      </w:r>
    </w:p>
    <w:p>
      <w:pPr>
        <w:pStyle w:val="Heading2"/>
      </w:pPr>
      <w:r>
        <w:t>II. Legal Framework</w:t>
      </w:r>
    </w:p>
    <w:p>
      <w:r>
        <w:t>Under Michigan law, custody orders may only be modified upon a showing of proper cause or a material change in circumstances (MCL 722.27(1)(c)). The Court must evaluate the 12 best interest factors outlined in MCL 722.23 to determine the arrangement that serves the child's welfare. Michigan case law, including Fletcher v. Fletcher, 447 Mich. 871 (1994), emphasizes the paramount importance of the child’s best interests in custody decisions.</w:t>
      </w:r>
    </w:p>
    <w:p>
      <w:pPr>
        <w:pStyle w:val="Heading2"/>
      </w:pPr>
      <w:r>
        <w:t>III. Best Interest Factors Analysis</w:t>
      </w:r>
    </w:p>
    <w:p>
      <w:r>
        <w:t>Pursuant to MCL 722.23, the following analysis demonstrates why the requested custody modification aligns with the best interests of the child.</w:t>
      </w:r>
    </w:p>
    <w:p>
      <w:pPr>
        <w:pStyle w:val="Heading3"/>
      </w:pPr>
      <w:r>
        <w:t>(a): The love, affection, and other emotional ties existing between the parties and the child.</w:t>
      </w:r>
    </w:p>
    <w:p>
      <w:r>
        <w:t>Insert detailed legal arguments, specific evidence, and references to applicable Michigan case law here.</w:t>
      </w:r>
    </w:p>
    <w:p>
      <w:pPr>
        <w:pStyle w:val="Heading3"/>
      </w:pPr>
      <w:r>
        <w:t>(b): The capacity and disposition of the parties to give the child love, affection, and guidance.</w:t>
      </w:r>
    </w:p>
    <w:p>
      <w:r>
        <w:t>Insert detailed legal arguments, specific evidence, and references to applicable Michigan case law here.</w:t>
      </w:r>
    </w:p>
    <w:p>
      <w:pPr>
        <w:pStyle w:val="Heading3"/>
      </w:pPr>
      <w:r>
        <w:t>(c): The capacity and disposition of the parties to provide the child with food, clothing, medical care, and other material needs.</w:t>
      </w:r>
    </w:p>
    <w:p>
      <w:r>
        <w:t>Insert detailed legal arguments, specific evidence, and references to applicable Michigan case law here.</w:t>
      </w:r>
    </w:p>
    <w:p>
      <w:pPr>
        <w:pStyle w:val="Heading3"/>
      </w:pPr>
      <w:r>
        <w:t>(d): The length of time the child has lived in a stable, satisfactory environment and the desirability of maintaining continuity.</w:t>
      </w:r>
    </w:p>
    <w:p>
      <w:r>
        <w:t>Insert detailed legal arguments, specific evidence, and references to applicable Michigan case law here.</w:t>
      </w:r>
    </w:p>
    <w:p>
      <w:pPr>
        <w:pStyle w:val="Heading3"/>
      </w:pPr>
      <w:r>
        <w:t>(e): The permanence, as a family unit, of the existing or proposed custodial home.</w:t>
      </w:r>
    </w:p>
    <w:p>
      <w:r>
        <w:t>Insert detailed legal arguments, specific evidence, and references to applicable Michigan case law here.</w:t>
      </w:r>
    </w:p>
    <w:p>
      <w:pPr>
        <w:pStyle w:val="Heading3"/>
      </w:pPr>
      <w:r>
        <w:t>(f): The moral fitness of the parties involved.</w:t>
      </w:r>
    </w:p>
    <w:p>
      <w:r>
        <w:t>Insert detailed legal arguments, specific evidence, and references to applicable Michigan case law here.</w:t>
      </w:r>
    </w:p>
    <w:p>
      <w:pPr>
        <w:pStyle w:val="Heading3"/>
      </w:pPr>
      <w:r>
        <w:t>(g): The mental and physical health of the parties involved.</w:t>
      </w:r>
    </w:p>
    <w:p>
      <w:r>
        <w:t>Insert detailed legal arguments, specific evidence, and references to applicable Michigan case law here.</w:t>
      </w:r>
    </w:p>
    <w:p>
      <w:pPr>
        <w:pStyle w:val="Heading3"/>
      </w:pPr>
      <w:r>
        <w:t>(h): The home, school, and community record of the child.</w:t>
      </w:r>
    </w:p>
    <w:p>
      <w:r>
        <w:t>Insert detailed legal arguments, specific evidence, and references to applicable Michigan case law here.</w:t>
      </w:r>
    </w:p>
    <w:p>
      <w:pPr>
        <w:pStyle w:val="Heading3"/>
      </w:pPr>
      <w:r>
        <w:t>(i): The reasonable preference of the child, if the court considers the child to be of sufficient age to express preference.</w:t>
      </w:r>
    </w:p>
    <w:p>
      <w:r>
        <w:t>Insert detailed legal arguments, specific evidence, and references to applicable Michigan case law here.</w:t>
      </w:r>
    </w:p>
    <w:p>
      <w:pPr>
        <w:pStyle w:val="Heading3"/>
      </w:pPr>
      <w:r>
        <w:t>(j): The willingness and ability of each of the parties to facilitate and encourage a close and continuing parent-child relationship.</w:t>
      </w:r>
    </w:p>
    <w:p>
      <w:r>
        <w:t>Insert detailed legal arguments, specific evidence, and references to applicable Michigan case law here.</w:t>
      </w:r>
    </w:p>
    <w:p>
      <w:pPr>
        <w:pStyle w:val="Heading3"/>
      </w:pPr>
      <w:r>
        <w:t>(k): Domestic violence, regardless of whether it was directed at or witnessed by the child.</w:t>
      </w:r>
    </w:p>
    <w:p>
      <w:r>
        <w:t>Insert detailed legal arguments, specific evidence, and references to applicable Michigan case law here.</w:t>
      </w:r>
    </w:p>
    <w:p>
      <w:pPr>
        <w:pStyle w:val="Heading3"/>
      </w:pPr>
      <w:r>
        <w:t>(l): Any other factor considered by the court relevant to the custody dispute.</w:t>
      </w:r>
    </w:p>
    <w:p>
      <w:r>
        <w:t>Insert detailed legal arguments, specific evidence, and references to applicable Michigan case law here.</w:t>
      </w:r>
    </w:p>
    <w:p>
      <w:pPr>
        <w:pStyle w:val="Heading2"/>
      </w:pPr>
      <w:r>
        <w:t>IV. Relief Requested</w:t>
      </w:r>
    </w:p>
    <w:p>
      <w:r>
        <w:t>WHEREFORE, Plaintiff respectfully requests that this Honorable Court grant the following relief to protect LDW’s best interests:</w:t>
      </w:r>
    </w:p>
    <w:p>
      <w:r>
        <w:t>1. Restore 50/50 custody and parenting time, ensuring equal access for both parents.</w:t>
      </w:r>
    </w:p>
    <w:p>
      <w:r>
        <w:t>2. Award compensatory parenting time for periods unlawfully withheld by the Defendant.</w:t>
      </w:r>
    </w:p>
    <w:p>
      <w:r>
        <w:t>3. Require Defendant to facilitate co-parenting communication and provide transparency.</w:t>
      </w:r>
    </w:p>
    <w:p>
      <w:r>
        <w:t>4. Adjust child support obligations to reflect accurate financial disclosures and increased parenting time.</w:t>
      </w:r>
    </w:p>
    <w:p>
      <w:r>
        <w:t>5. Mandate co-parenting counseling to improve collaboration and reduce conflict.</w:t>
      </w:r>
    </w:p>
    <w:p>
      <w:r>
        <w:br/>
        <w:t>Respectfully submitted,</w:t>
      </w:r>
    </w:p>
    <w:p>
      <w:r>
        <w:br/>
        <w:t>_________________________</w:t>
      </w:r>
    </w:p>
    <w:p>
      <w:r>
        <w:t>Andrew J. Pigors</w:t>
      </w:r>
    </w:p>
    <w:p>
      <w: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