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Judicial Bias Pattern Analysis: Judge Jenny L. McNeill</w:t>
      </w:r>
    </w:p>
    <w:p>
      <w:pPr>
        <w:pStyle w:val="Heading2"/>
        <w:pStyle w:val="MdHeading2"/>
      </w:pPr>
      <w:r>
        <w:t xml:space="preserve">Case 2024-0000001507-DC (Pigors v. Watson)</w:t>
      </w:r>
    </w:p>
    <w:p>
      <w:pPr>
        <w:pStyle w:val="MdHr"/>
        <w:pBdr>
          <w:bottom w:val="single" w:color="auto" w:sz="6" w:space="1"/>
        </w:pBdr>
      </w:pPr>
    </w:p>
    <w:p>
      <w:pPr>
        <w:pStyle w:val="MdSpace"/>
        <w:spacing w:before="0" w:after="60"/>
      </w:pPr>
    </w:p>
    <w:p>
      <w:pPr>
        <w:pStyle w:val="Heading2"/>
        <w:pStyle w:val="MdHeading2"/>
      </w:pPr>
      <w:r>
        <w:t xml:space="preserve">TOP FIVE DOCUMENTED BIAS PATTERNS</w:t>
      </w:r>
    </w:p>
    <w:p>
      <w:pPr>
        <w:pStyle w:val="Heading3"/>
        <w:pStyle w:val="MdHeading3"/>
      </w:pPr>
      <w:r>
        <w:t xml:space="preserve">Pattern 1: Ex Parte Orders Without Affidavits or Findings of Fact</w:t>
      </w:r>
    </w:p>
    <w:p>
      <w:pPr>
        <w:pStyle w:val="MdParagraph"/>
      </w:pPr>
      <w:r>
        <w:rPr>
          <w:rStyle w:val="MdStrong"/>
          <w:b/>
          <w:bCs/>
        </w:rPr>
        <w:t xml:space="preserve">Severity:</w:t>
      </w:r>
      <w:r>
        <w:t xml:space="preserve"> CRITICAL</w:t>
      </w:r>
      <w:r>
        <w:rPr>
          <w:rStyle w:val="MdBr"/>
        </w:rPr>
        <w:br/>
        <w:t xml:space="preserve"/>
      </w:r>
      <w:r>
        <w:rPr>
          <w:rStyle w:val="MdStrong"/>
          <w:b/>
          <w:bCs/>
        </w:rPr>
        <w:t xml:space="preserve">Legal Violation:</w:t>
      </w:r>
      <w:r>
        <w:t xml:space="preserve"> MCR 3.206(A), MCL 722.27(1)(c)</w:t>
      </w:r>
      <w:r>
        <w:rPr>
          <w:rStyle w:val="MdBr"/>
        </w:rPr>
        <w:br/>
        <w:t xml:space="preserve"/>
      </w:r>
      <w:r>
        <w:rPr>
          <w:rStyle w:val="MdStrong"/>
          <w:b/>
          <w:bCs/>
        </w:rPr>
        <w:t xml:space="preserve">Description:</w:t>
      </w:r>
      <w:r>
        <w:t xml:space="preserve"> Judge McNeill issued parenting time suspension orders via telephone without requiring affidavits, written findings of fact, or documented emergency circumstances. This violates the mandatory procedural requirements for emergency parenting time orders.</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Parenting time suspension ordered via phone call (June 15, 2024)</w:t>
      </w:r>
    </w:p>
    <w:p>
      <w:pPr>
        <w:pStyle w:val="MdListItem"/>
        <w:numPr>
          <w:ilvl w:val="0"/>
          <w:numId w:val="2"/>
        </w:numPr>
      </w:pPr>
      <w:r>
        <w:t xml:space="preserve">No affidavit filed supporting emergency circumstances</w:t>
      </w:r>
    </w:p>
    <w:p>
      <w:pPr>
        <w:pStyle w:val="MdListItem"/>
        <w:numPr>
          <w:ilvl w:val="0"/>
          <w:numId w:val="2"/>
        </w:numPr>
      </w:pPr>
      <w:r>
        <w:t xml:space="preserve">No written findings of fact explaining the suspension</w:t>
      </w:r>
    </w:p>
    <w:p>
      <w:pPr>
        <w:pStyle w:val="MdListItem"/>
        <w:numPr>
          <w:ilvl w:val="0"/>
          <w:numId w:val="2"/>
        </w:numPr>
      </w:pPr>
      <w:r>
        <w:t xml:space="preserve">No documented emergency justifying ex parte action</w:t>
      </w:r>
    </w:p>
    <w:p>
      <w:pPr>
        <w:pStyle w:val="MdListItem"/>
        <w:numPr>
          <w:ilvl w:val="0"/>
          <w:numId w:val="2"/>
        </w:numPr>
      </w:pPr>
      <w:r>
        <w:t xml:space="preserve">Subsequent orders referencing HealthWest evaluation without formal submission</w:t>
      </w:r>
    </w:p>
    <w:p>
      <w:pPr>
        <w:pStyle w:val="MdSpace"/>
        <w:spacing w:before="0" w:after="60"/>
      </w:pPr>
    </w:p>
    <w:p>
      <w:pPr>
        <w:pStyle w:val="MdParagraph"/>
      </w:pPr>
      <w:r>
        <w:rPr>
          <w:rStyle w:val="MdStrong"/>
          <w:b/>
          <w:bCs/>
        </w:rPr>
        <w:t xml:space="preserve">Legal Basis:</w:t>
      </w:r>
    </w:p>
    <w:p>
      <w:pPr>
        <w:pStyle w:val="MdListItem"/>
        <w:numPr>
          <w:ilvl w:val="0"/>
          <w:numId w:val="2"/>
        </w:numPr>
      </w:pPr>
      <w:r>
        <w:t xml:space="preserve">MCR 3.206(A) requires affidavits and specific findings for ex parte orders</w:t>
      </w:r>
    </w:p>
    <w:p>
      <w:pPr>
        <w:pStyle w:val="MdListItem"/>
        <w:numPr>
          <w:ilvl w:val="0"/>
          <w:numId w:val="2"/>
        </w:numPr>
      </w:pPr>
      <w:r>
        <w:t xml:space="preserve">MCL 722.27(1)(c) mandates written findings for custody modifications</w:t>
      </w:r>
    </w:p>
    <w:p>
      <w:pPr>
        <w:pStyle w:val="MdListItem"/>
        <w:numPr>
          <w:ilvl w:val="0"/>
          <w:numId w:val="2"/>
        </w:numPr>
      </w:pPr>
      <w:r>
        <w:t xml:space="preserve">Due process requires notice and opportunity to be heard (14th Amendment)</w:t>
      </w:r>
    </w:p>
    <w:p>
      <w:pPr>
        <w:pStyle w:val="MdSpace"/>
        <w:spacing w:before="0" w:after="60"/>
      </w:pPr>
    </w:p>
    <w:p>
      <w:pPr>
        <w:pStyle w:val="MdParagraph"/>
      </w:pPr>
      <w:r>
        <w:rPr>
          <w:rStyle w:val="MdStrong"/>
          <w:b/>
          <w:bCs/>
        </w:rPr>
        <w:t xml:space="preserve">Impact:</w:t>
      </w:r>
      <w:r>
        <w:t xml:space="preserve"> Plaintiff denied opportunity to present evidence or respond to allegations before parenting time suspension.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Pattern 2: Denial of Parenting Time Modification Due to Sanction Fee Barrier</w:t>
      </w:r>
    </w:p>
    <w:p>
      <w:pPr>
        <w:pStyle w:val="MdParagraph"/>
      </w:pPr>
      <w:r>
        <w:rPr>
          <w:rStyle w:val="MdStrong"/>
          <w:b/>
          <w:bCs/>
        </w:rPr>
        <w:t xml:space="preserve">Severity:</w:t>
      </w:r>
      <w:r>
        <w:t xml:space="preserve"> CRITICAL</w:t>
      </w:r>
      <w:r>
        <w:rPr>
          <w:rStyle w:val="MdBr"/>
        </w:rPr>
        <w:br/>
        <w:t xml:space="preserve"/>
      </w:r>
      <w:r>
        <w:rPr>
          <w:rStyle w:val="MdStrong"/>
          <w:b/>
          <w:bCs/>
        </w:rPr>
        <w:t xml:space="preserve">Legal Violation:</w:t>
      </w:r>
      <w:r>
        <w:t xml:space="preserve"> MCR 3.203, Due Process (Access to Courts)</w:t>
      </w:r>
      <w:r>
        <w:rPr>
          <w:rStyle w:val="MdBr"/>
        </w:rPr>
        <w:br/>
        <w:t xml:space="preserve"/>
      </w:r>
      <w:r>
        <w:rPr>
          <w:rStyle w:val="MdStrong"/>
          <w:b/>
          <w:bCs/>
        </w:rPr>
        <w:t xml:space="preserve">Description:</w:t>
      </w:r>
      <w:r>
        <w:t xml:space="preserve"> Judge McNeill imposed a $250 sanction fee as a barrier to filing parenting time modification motions, effectively denying plaintiff's constitutional right to petition the court for modification of custody/parenting time arrangements.</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Modification motion denied due to unpaid $250 sanction fee</w:t>
      </w:r>
    </w:p>
    <w:p>
      <w:pPr>
        <w:pStyle w:val="MdListItem"/>
        <w:numPr>
          <w:ilvl w:val="0"/>
          <w:numId w:val="2"/>
        </w:numPr>
      </w:pPr>
      <w:r>
        <w:t xml:space="preserve">Fee described as barrier to future filings</w:t>
      </w:r>
    </w:p>
    <w:p>
      <w:pPr>
        <w:pStyle w:val="MdListItem"/>
        <w:numPr>
          <w:ilvl w:val="0"/>
          <w:numId w:val="2"/>
        </w:numPr>
      </w:pPr>
      <w:r>
        <w:t xml:space="preserve">Plaintiff unable to modify parenting time due to fee constraint</w:t>
      </w:r>
    </w:p>
    <w:p>
      <w:pPr>
        <w:pStyle w:val="MdListItem"/>
        <w:numPr>
          <w:ilvl w:val="0"/>
          <w:numId w:val="2"/>
        </w:numPr>
      </w:pPr>
      <w:r>
        <w:t xml:space="preserve">Employment loss directly linked to inability to modify parenting time</w:t>
      </w:r>
    </w:p>
    <w:p>
      <w:pPr>
        <w:pStyle w:val="MdSpace"/>
        <w:spacing w:before="0" w:after="60"/>
      </w:pPr>
    </w:p>
    <w:p>
      <w:pPr>
        <w:pStyle w:val="MdParagraph"/>
      </w:pPr>
      <w:r>
        <w:rPr>
          <w:rStyle w:val="MdStrong"/>
          <w:b/>
          <w:bCs/>
        </w:rPr>
        <w:t xml:space="preserve">Legal Basis:</w:t>
      </w:r>
    </w:p>
    <w:p>
      <w:pPr>
        <w:pStyle w:val="MdListItem"/>
        <w:numPr>
          <w:ilvl w:val="0"/>
          <w:numId w:val="2"/>
        </w:numPr>
      </w:pPr>
      <w:r>
        <w:t xml:space="preserve">MCR 3.203 requires timely consideration of modification motions</w:t>
      </w:r>
    </w:p>
    <w:p>
      <w:pPr>
        <w:pStyle w:val="MdListItem"/>
        <w:numPr>
          <w:ilvl w:val="0"/>
          <w:numId w:val="2"/>
        </w:numPr>
      </w:pPr>
      <w:r>
        <w:t xml:space="preserve">Due process protects right to access courts (Boddie v. Connecticut)</w:t>
      </w:r>
    </w:p>
    <w:p>
      <w:pPr>
        <w:pStyle w:val="MdListItem"/>
        <w:numPr>
          <w:ilvl w:val="0"/>
          <w:numId w:val="2"/>
        </w:numPr>
      </w:pPr>
      <w:r>
        <w:t xml:space="preserve">MCL 722.27(1)(c) provides statutory right to modify custody/parenting time</w:t>
      </w:r>
    </w:p>
    <w:p>
      <w:pPr>
        <w:pStyle w:val="MdListItem"/>
        <w:numPr>
          <w:ilvl w:val="0"/>
          <w:numId w:val="2"/>
        </w:numPr>
      </w:pPr>
      <w:r>
        <w:t xml:space="preserve">Fees cannot be used as punitive barriers to statutory rights</w:t>
      </w:r>
    </w:p>
    <w:p>
      <w:pPr>
        <w:pStyle w:val="MdSpace"/>
        <w:spacing w:before="0" w:after="60"/>
      </w:pPr>
    </w:p>
    <w:p>
      <w:pPr>
        <w:pStyle w:val="MdParagraph"/>
      </w:pPr>
      <w:r>
        <w:rPr>
          <w:rStyle w:val="MdStrong"/>
          <w:b/>
          <w:bCs/>
        </w:rPr>
        <w:t xml:space="preserve">Impact:</w:t>
      </w:r>
      <w:r>
        <w:t xml:space="preserve"> Plaintiff effectively barred from exercising statutory modification rights; employment consequences resulted from court-imposed constraints.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Pattern 3: Delayed Hearings and Notice Failures</w:t>
      </w:r>
    </w:p>
    <w:p>
      <w:pPr>
        <w:pStyle w:val="MdParagraph"/>
      </w:pPr>
      <w:r>
        <w:rPr>
          <w:rStyle w:val="MdStrong"/>
          <w:b/>
          <w:bCs/>
        </w:rPr>
        <w:t xml:space="preserve">Severity:</w:t>
      </w:r>
      <w:r>
        <w:t xml:space="preserve"> HIGH</w:t>
      </w:r>
      <w:r>
        <w:rPr>
          <w:rStyle w:val="MdBr"/>
        </w:rPr>
        <w:br/>
        <w:t xml:space="preserve"/>
      </w:r>
      <w:r>
        <w:rPr>
          <w:rStyle w:val="MdStrong"/>
          <w:b/>
          <w:bCs/>
        </w:rPr>
        <w:t xml:space="preserve">Legal Violation:</w:t>
      </w:r>
      <w:r>
        <w:t xml:space="preserve"> MCR 3.203, MCL 722.27</w:t>
      </w:r>
      <w:r>
        <w:rPr>
          <w:rStyle w:val="MdBr"/>
        </w:rPr>
        <w:br/>
        <w:t xml:space="preserve"/>
      </w:r>
      <w:r>
        <w:rPr>
          <w:rStyle w:val="MdStrong"/>
          <w:b/>
          <w:bCs/>
        </w:rPr>
        <w:t xml:space="preserve">Description:</w:t>
      </w:r>
      <w:r>
        <w:t xml:space="preserve"> Judge McNeill consistently delayed hearings on parenting time matters beyond reasonable timeframes, and failed to provide adequate notice of hearing dates and modifications.</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Modification motions filed without timely hearing scheduling</w:t>
      </w:r>
    </w:p>
    <w:p>
      <w:pPr>
        <w:pStyle w:val="MdListItem"/>
        <w:numPr>
          <w:ilvl w:val="0"/>
          <w:numId w:val="2"/>
        </w:numPr>
      </w:pPr>
      <w:r>
        <w:t xml:space="preserve">Delays exceeding 30 days in custody/parenting time matters</w:t>
      </w:r>
    </w:p>
    <w:p>
      <w:pPr>
        <w:pStyle w:val="MdListItem"/>
        <w:numPr>
          <w:ilvl w:val="0"/>
          <w:numId w:val="2"/>
        </w:numPr>
      </w:pPr>
      <w:r>
        <w:t xml:space="preserve">Notice of hearing modifications provided without sufficient advance notice</w:t>
      </w:r>
    </w:p>
    <w:p>
      <w:pPr>
        <w:pStyle w:val="MdListItem"/>
        <w:numPr>
          <w:ilvl w:val="0"/>
          <w:numId w:val="2"/>
        </w:numPr>
      </w:pPr>
      <w:r>
        <w:t xml:space="preserve">Parenting time changes implemented without proper notice to plaintiff</w:t>
      </w:r>
    </w:p>
    <w:p>
      <w:pPr>
        <w:pStyle w:val="MdSpace"/>
        <w:spacing w:before="0" w:after="60"/>
      </w:pPr>
    </w:p>
    <w:p>
      <w:pPr>
        <w:pStyle w:val="MdParagraph"/>
      </w:pPr>
      <w:r>
        <w:rPr>
          <w:rStyle w:val="MdStrong"/>
          <w:b/>
          <w:bCs/>
        </w:rPr>
        <w:t xml:space="preserve">Legal Basis:</w:t>
      </w:r>
    </w:p>
    <w:p>
      <w:pPr>
        <w:pStyle w:val="MdListItem"/>
        <w:numPr>
          <w:ilvl w:val="0"/>
          <w:numId w:val="2"/>
        </w:numPr>
      </w:pPr>
      <w:r>
        <w:t xml:space="preserve">MCR 3.203 requires expedited scheduling of custody/parenting time matters</w:t>
      </w:r>
    </w:p>
    <w:p>
      <w:pPr>
        <w:pStyle w:val="MdListItem"/>
        <w:numPr>
          <w:ilvl w:val="0"/>
          <w:numId w:val="2"/>
        </w:numPr>
      </w:pPr>
      <w:r>
        <w:t xml:space="preserve">MCL 722.27 contemplates prompt resolution of custody disputes</w:t>
      </w:r>
    </w:p>
    <w:p>
      <w:pPr>
        <w:pStyle w:val="MdListItem"/>
        <w:numPr>
          <w:ilvl w:val="0"/>
          <w:numId w:val="2"/>
        </w:numPr>
      </w:pPr>
      <w:r>
        <w:t xml:space="preserve">Due process requires adequate notice of hearings and modifications</w:t>
      </w:r>
    </w:p>
    <w:p>
      <w:pPr>
        <w:pStyle w:val="MdListItem"/>
        <w:numPr>
          <w:ilvl w:val="0"/>
          <w:numId w:val="2"/>
        </w:numPr>
      </w:pPr>
      <w:r>
        <w:t xml:space="preserve">Family law matters require expedited treatment under Michigan law</w:t>
      </w:r>
    </w:p>
    <w:p>
      <w:pPr>
        <w:pStyle w:val="MdSpace"/>
        <w:spacing w:before="0" w:after="60"/>
      </w:pPr>
    </w:p>
    <w:p>
      <w:pPr>
        <w:pStyle w:val="MdParagraph"/>
      </w:pPr>
      <w:r>
        <w:rPr>
          <w:rStyle w:val="MdStrong"/>
          <w:b/>
          <w:bCs/>
        </w:rPr>
        <w:t xml:space="preserve">Impact:</w:t>
      </w:r>
      <w:r>
        <w:t xml:space="preserve"> Plaintiff unable to prepare adequate response; parenting time disrupted without notice; employment and childcare arrangements destabilized.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Pattern 4: Misrepresentation of Income and Selective Fact-Finding</w:t>
      </w:r>
    </w:p>
    <w:p>
      <w:pPr>
        <w:pStyle w:val="MdParagraph"/>
      </w:pPr>
      <w:r>
        <w:rPr>
          <w:rStyle w:val="MdStrong"/>
          <w:b/>
          <w:bCs/>
        </w:rPr>
        <w:t xml:space="preserve">Severity:</w:t>
      </w:r>
      <w:r>
        <w:t xml:space="preserve"> HIGH</w:t>
      </w:r>
      <w:r>
        <w:rPr>
          <w:rStyle w:val="MdBr"/>
        </w:rPr>
        <w:br/>
        <w:t xml:space="preserve"/>
      </w:r>
      <w:r>
        <w:rPr>
          <w:rStyle w:val="MdStrong"/>
          <w:b/>
          <w:bCs/>
        </w:rPr>
        <w:t xml:space="preserve">Legal Violation:</w:t>
      </w:r>
      <w:r>
        <w:t xml:space="preserve"> MCR 2.313 (Judicial Conduct), MCL 722.27(1)(c)</w:t>
      </w:r>
      <w:r>
        <w:rPr>
          <w:rStyle w:val="MdBr"/>
        </w:rPr>
        <w:br/>
        <w:t xml:space="preserve"/>
      </w:r>
      <w:r>
        <w:rPr>
          <w:rStyle w:val="MdStrong"/>
          <w:b/>
          <w:bCs/>
        </w:rPr>
        <w:t xml:space="preserve">Description:</w:t>
      </w:r>
      <w:r>
        <w:t xml:space="preserve"> Judge McNeill made factual findings regarding plaintiff's income that were contradicted by documentary evidence, and selectively applied facts to support predetermined outcomes favoring the opposing party.</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Income findings contradicted by tax returns and employment records</w:t>
      </w:r>
    </w:p>
    <w:p>
      <w:pPr>
        <w:pStyle w:val="MdListItem"/>
        <w:numPr>
          <w:ilvl w:val="0"/>
          <w:numId w:val="2"/>
        </w:numPr>
      </w:pPr>
      <w:r>
        <w:t xml:space="preserve">Rental income claimed without documentary support</w:t>
      </w:r>
    </w:p>
    <w:p>
      <w:pPr>
        <w:pStyle w:val="MdListItem"/>
        <w:numPr>
          <w:ilvl w:val="0"/>
          <w:numId w:val="2"/>
        </w:numPr>
      </w:pPr>
      <w:r>
        <w:t xml:space="preserve">Child support calculations based on misrepresented income figures</w:t>
      </w:r>
    </w:p>
    <w:p>
      <w:pPr>
        <w:pStyle w:val="MdListItem"/>
        <w:numPr>
          <w:ilvl w:val="0"/>
          <w:numId w:val="2"/>
        </w:numPr>
      </w:pPr>
      <w:r>
        <w:t xml:space="preserve">Selective citation of evidence supporting defendant's position</w:t>
      </w:r>
    </w:p>
    <w:p>
      <w:pPr>
        <w:pStyle w:val="MdListItem"/>
        <w:numPr>
          <w:ilvl w:val="0"/>
          <w:numId w:val="2"/>
        </w:numPr>
      </w:pPr>
      <w:r>
        <w:t xml:space="preserve">Failure to address contradictory evidence presented by plaintiff</w:t>
      </w:r>
    </w:p>
    <w:p>
      <w:pPr>
        <w:pStyle w:val="MdSpace"/>
        <w:spacing w:before="0" w:after="60"/>
      </w:pPr>
    </w:p>
    <w:p>
      <w:pPr>
        <w:pStyle w:val="MdParagraph"/>
      </w:pPr>
      <w:r>
        <w:rPr>
          <w:rStyle w:val="MdStrong"/>
          <w:b/>
          <w:bCs/>
        </w:rPr>
        <w:t xml:space="preserve">Legal Basis:</w:t>
      </w:r>
    </w:p>
    <w:p>
      <w:pPr>
        <w:pStyle w:val="MdListItem"/>
        <w:numPr>
          <w:ilvl w:val="0"/>
          <w:numId w:val="2"/>
        </w:numPr>
      </w:pPr>
      <w:r>
        <w:t xml:space="preserve">MCR 2.313 requires judges to avoid bias and conduct themselves with integrity</w:t>
      </w:r>
    </w:p>
    <w:p>
      <w:pPr>
        <w:pStyle w:val="MdListItem"/>
        <w:numPr>
          <w:ilvl w:val="0"/>
          <w:numId w:val="2"/>
        </w:numPr>
      </w:pPr>
      <w:r>
        <w:t xml:space="preserve">MCL 722.27(1)(c) requires findings based on clear and convincing evidence</w:t>
      </w:r>
    </w:p>
    <w:p>
      <w:pPr>
        <w:pStyle w:val="MdListItem"/>
        <w:numPr>
          <w:ilvl w:val="0"/>
          <w:numId w:val="2"/>
        </w:numPr>
      </w:pPr>
      <w:r>
        <w:t xml:space="preserve">Due process requires factual findings supported by evidence in the record</w:t>
      </w:r>
    </w:p>
    <w:p>
      <w:pPr>
        <w:pStyle w:val="MdListItem"/>
        <w:numPr>
          <w:ilvl w:val="0"/>
          <w:numId w:val="2"/>
        </w:numPr>
      </w:pPr>
      <w:r>
        <w:t xml:space="preserve">Judicial bias includes selective application of facts to predetermined conclusions</w:t>
      </w:r>
    </w:p>
    <w:p>
      <w:pPr>
        <w:pStyle w:val="MdSpace"/>
        <w:spacing w:before="0" w:after="60"/>
      </w:pPr>
    </w:p>
    <w:p>
      <w:pPr>
        <w:pStyle w:val="MdParagraph"/>
      </w:pPr>
      <w:r>
        <w:rPr>
          <w:rStyle w:val="MdStrong"/>
          <w:b/>
          <w:bCs/>
        </w:rPr>
        <w:t xml:space="preserve">Impact:</w:t>
      </w:r>
      <w:r>
        <w:t xml:space="preserve"> Child support obligations calculated on false income figures; plaintiff's legitimate evidence ignored; orders based on inaccurate factual record.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Pattern 5: Denial of Opportunity to Be Heard and Procedural Irregularities</w:t>
      </w:r>
    </w:p>
    <w:p>
      <w:pPr>
        <w:pStyle w:val="MdParagraph"/>
      </w:pPr>
      <w:r>
        <w:rPr>
          <w:rStyle w:val="MdStrong"/>
          <w:b/>
          <w:bCs/>
        </w:rPr>
        <w:t xml:space="preserve">Severity:</w:t>
      </w:r>
      <w:r>
        <w:t xml:space="preserve"> HIGH</w:t>
      </w:r>
      <w:r>
        <w:rPr>
          <w:rStyle w:val="MdBr"/>
        </w:rPr>
        <w:br/>
        <w:t xml:space="preserve"/>
      </w:r>
      <w:r>
        <w:rPr>
          <w:rStyle w:val="MdStrong"/>
          <w:b/>
          <w:bCs/>
        </w:rPr>
        <w:t xml:space="preserve">Legal Violation:</w:t>
      </w:r>
      <w:r>
        <w:t xml:space="preserve"> MCR 3.206, Due Process (14th Amendment)</w:t>
      </w:r>
      <w:r>
        <w:rPr>
          <w:rStyle w:val="MdBr"/>
        </w:rPr>
        <w:br/>
        <w:t xml:space="preserve"/>
      </w:r>
      <w:r>
        <w:rPr>
          <w:rStyle w:val="MdStrong"/>
          <w:b/>
          <w:bCs/>
        </w:rPr>
        <w:t xml:space="preserve">Description:</w:t>
      </w:r>
      <w:r>
        <w:t xml:space="preserve"> Judge McNeill consistently denied plaintiff meaningful opportunity to be heard, including ex parte modifications, filings under incorrect party names, and failure to ensure plaintiff received notice of proceedings.</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Ex parte parenting time modifications without notice to plaintiff</w:t>
      </w:r>
    </w:p>
    <w:p>
      <w:pPr>
        <w:pStyle w:val="MdListItem"/>
        <w:numPr>
          <w:ilvl w:val="0"/>
          <w:numId w:val="2"/>
        </w:numPr>
      </w:pPr>
      <w:r>
        <w:t xml:space="preserve">Filings processed under incorrect party names without correction</w:t>
      </w:r>
    </w:p>
    <w:p>
      <w:pPr>
        <w:pStyle w:val="MdListItem"/>
        <w:numPr>
          <w:ilvl w:val="0"/>
          <w:numId w:val="2"/>
        </w:numPr>
      </w:pPr>
      <w:r>
        <w:t xml:space="preserve">Hearings scheduled without adequate notice to plaintiff</w:t>
      </w:r>
    </w:p>
    <w:p>
      <w:pPr>
        <w:pStyle w:val="MdListItem"/>
        <w:numPr>
          <w:ilvl w:val="0"/>
          <w:numId w:val="2"/>
        </w:numPr>
      </w:pPr>
      <w:r>
        <w:t xml:space="preserve">Plaintiff's objections and motions not addressed on the record</w:t>
      </w:r>
    </w:p>
    <w:p>
      <w:pPr>
        <w:pStyle w:val="MdListItem"/>
        <w:numPr>
          <w:ilvl w:val="0"/>
          <w:numId w:val="2"/>
        </w:numPr>
      </w:pPr>
      <w:r>
        <w:t xml:space="preserve">Frivolous motions by opposing counsel not sanctioned despite pattern</w:t>
      </w:r>
    </w:p>
    <w:p>
      <w:pPr>
        <w:pStyle w:val="MdSpace"/>
        <w:spacing w:before="0" w:after="60"/>
      </w:pPr>
    </w:p>
    <w:p>
      <w:pPr>
        <w:pStyle w:val="MdParagraph"/>
      </w:pPr>
      <w:r>
        <w:rPr>
          <w:rStyle w:val="MdStrong"/>
          <w:b/>
          <w:bCs/>
        </w:rPr>
        <w:t xml:space="preserve">Legal Basis:</w:t>
      </w:r>
    </w:p>
    <w:p>
      <w:pPr>
        <w:pStyle w:val="MdListItem"/>
        <w:numPr>
          <w:ilvl w:val="0"/>
          <w:numId w:val="2"/>
        </w:numPr>
      </w:pPr>
      <w:r>
        <w:t xml:space="preserve">MCR 3.206(C) requires notice to all parties before parenting time modifications</w:t>
      </w:r>
    </w:p>
    <w:p>
      <w:pPr>
        <w:pStyle w:val="MdListItem"/>
        <w:numPr>
          <w:ilvl w:val="0"/>
          <w:numId w:val="2"/>
        </w:numPr>
      </w:pPr>
      <w:r>
        <w:t xml:space="preserve">Due process requires notice and opportunity to be heard (Mathews v. Eldridge)</w:t>
      </w:r>
    </w:p>
    <w:p>
      <w:pPr>
        <w:pStyle w:val="MdListItem"/>
        <w:numPr>
          <w:ilvl w:val="0"/>
          <w:numId w:val="2"/>
        </w:numPr>
      </w:pPr>
      <w:r>
        <w:t xml:space="preserve">MCR 2.313 requires judges to ensure fairness and equal treatment</w:t>
      </w:r>
    </w:p>
    <w:p>
      <w:pPr>
        <w:pStyle w:val="MdListItem"/>
        <w:numPr>
          <w:ilvl w:val="0"/>
          <w:numId w:val="2"/>
        </w:numPr>
      </w:pPr>
      <w:r>
        <w:t xml:space="preserve">MCL 722.27 contemplates adversarial process with both parties represented</w:t>
      </w:r>
    </w:p>
    <w:p>
      <w:pPr>
        <w:pStyle w:val="MdSpace"/>
        <w:spacing w:before="0" w:after="60"/>
      </w:pPr>
    </w:p>
    <w:p>
      <w:pPr>
        <w:pStyle w:val="MdParagraph"/>
      </w:pPr>
      <w:r>
        <w:rPr>
          <w:rStyle w:val="MdStrong"/>
          <w:b/>
          <w:bCs/>
        </w:rPr>
        <w:t xml:space="preserve">Impact:</w:t>
      </w:r>
      <w:r>
        <w:t xml:space="preserve"> Plaintiff denied fundamental due process; unable to contest allegations or present evidence; parenting time modified without notice or opportunity to respond.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PATTERN SUMMARY TABLE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Pattern</w:t>
            </w:r>
          </w:p>
        </w:tc>
        <w:tc>
          <w:tcPr>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pPr>
            <w:r>
              <w:t xml:space="preserve">Legal Basis</w:t>
            </w:r>
          </w:p>
        </w:tc>
        <w:tc>
          <w:tcPr>
            <w:tcBorders>
              <w:right w:val="none"/>
            </w:tcBorders>
            <w:tcMar>
              <w:top w:type="dxa" w:w="100"/>
              <w:left w:type="dxa" w:w="120"/>
              <w:bottom w:type="dxa" w:w="100"/>
              <w:right w:type="dxa" w:w="120"/>
            </w:tcMar>
            <w:vAlign w:val="center"/>
          </w:tcPr>
          <w:p>
            <w:pPr>
              <w:pStyle w:val="MdTableHeader"/>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 Parte Orders Without Affidavits</w:t>
            </w:r>
          </w:p>
        </w:tc>
        <w:tc>
          <w:tcPr>
            <w:tcMar>
              <w:top w:type="dxa" w:w="80"/>
              <w:left w:type="dxa" w:w="120"/>
              <w:bottom w:type="dxa" w:w="80"/>
              <w:right w:type="dxa" w:w="120"/>
            </w:tcMar>
            <w:vAlign w:val="center"/>
          </w:tcPr>
          <w:p>
            <w:pPr>
              <w:pStyle w:val="MdTableCell"/>
            </w:pPr>
            <w:r>
              <w:t xml:space="preserve">CRITICAL</w:t>
            </w:r>
          </w:p>
        </w:tc>
        <w:tc>
          <w:tcPr>
            <w:tcMar>
              <w:top w:type="dxa" w:w="80"/>
              <w:left w:type="dxa" w:w="120"/>
              <w:bottom w:type="dxa" w:w="80"/>
              <w:right w:type="dxa" w:w="120"/>
            </w:tcMar>
            <w:vAlign w:val="center"/>
          </w:tcPr>
          <w:p>
            <w:pPr>
              <w:pStyle w:val="MdTableCell"/>
            </w:pPr>
            <w:r>
              <w:t xml:space="preserve">MCR 3.206, MCL 722.27</w:t>
            </w:r>
          </w:p>
        </w:tc>
        <w:tc>
          <w:tcPr>
            <w:tcBorders>
              <w:right w:val="none"/>
            </w:tcBorders>
            <w:tcMar>
              <w:top w:type="dxa" w:w="80"/>
              <w:left w:type="dxa" w:w="120"/>
              <w:bottom w:type="dxa" w:w="80"/>
              <w:right w:type="dxa" w:w="120"/>
            </w:tcMar>
            <w:vAlign w:val="center"/>
          </w:tcPr>
          <w:p>
            <w:pPr>
              <w:pStyle w:val="MdTableCell"/>
            </w:pPr>
            <w:r>
              <w:t xml:space="preserve">Denied opportunity to be heard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Sanction Fee Barrier to Modification</w:t>
            </w:r>
          </w:p>
        </w:tc>
        <w:tc>
          <w:tcPr>
            <w:tcMar>
              <w:top w:type="dxa" w:w="80"/>
              <w:left w:type="dxa" w:w="120"/>
              <w:bottom w:type="dxa" w:w="80"/>
              <w:right w:type="dxa" w:w="120"/>
            </w:tcMar>
            <w:vAlign w:val="center"/>
          </w:tcPr>
          <w:p>
            <w:pPr>
              <w:pStyle w:val="MdTableCell"/>
            </w:pPr>
            <w:r>
              <w:t xml:space="preserve">CRITICAL</w:t>
            </w:r>
          </w:p>
        </w:tc>
        <w:tc>
          <w:tcPr>
            <w:tcMar>
              <w:top w:type="dxa" w:w="80"/>
              <w:left w:type="dxa" w:w="120"/>
              <w:bottom w:type="dxa" w:w="80"/>
              <w:right w:type="dxa" w:w="120"/>
            </w:tcMar>
            <w:vAlign w:val="center"/>
          </w:tcPr>
          <w:p>
            <w:pPr>
              <w:pStyle w:val="MdTableCell"/>
            </w:pPr>
            <w:r>
              <w:t xml:space="preserve">MCR 3.203, Due Process</w:t>
            </w:r>
          </w:p>
        </w:tc>
        <w:tc>
          <w:tcPr>
            <w:tcBorders>
              <w:right w:val="none"/>
            </w:tcBorders>
            <w:tcMar>
              <w:top w:type="dxa" w:w="80"/>
              <w:left w:type="dxa" w:w="120"/>
              <w:bottom w:type="dxa" w:w="80"/>
              <w:right w:type="dxa" w:w="120"/>
            </w:tcMar>
            <w:vAlign w:val="center"/>
          </w:tcPr>
          <w:p>
            <w:pPr>
              <w:pStyle w:val="MdTableCell"/>
            </w:pPr>
            <w:r>
              <w:t xml:space="preserve">Barred from statutory modification rights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Delayed Hearings &amp; Notice Failures</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MCR 3.203, MCL 722.27</w:t>
            </w:r>
          </w:p>
        </w:tc>
        <w:tc>
          <w:tcPr>
            <w:tcBorders>
              <w:right w:val="none"/>
            </w:tcBorders>
            <w:tcMar>
              <w:top w:type="dxa" w:w="80"/>
              <w:left w:type="dxa" w:w="120"/>
              <w:bottom w:type="dxa" w:w="80"/>
              <w:right w:type="dxa" w:w="120"/>
            </w:tcMar>
            <w:vAlign w:val="center"/>
          </w:tcPr>
          <w:p>
            <w:pPr>
              <w:pStyle w:val="MdTableCell"/>
            </w:pPr>
            <w:r>
              <w:t xml:space="preserve">Inadequate preparation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Misrepresented Income Findings</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MCR 2.313, MCL 722.27</w:t>
            </w:r>
          </w:p>
        </w:tc>
        <w:tc>
          <w:tcPr>
            <w:tcBorders>
              <w:right w:val="none"/>
            </w:tcBorders>
            <w:tcMar>
              <w:top w:type="dxa" w:w="80"/>
              <w:left w:type="dxa" w:w="120"/>
              <w:bottom w:type="dxa" w:w="80"/>
              <w:right w:type="dxa" w:w="120"/>
            </w:tcMar>
            <w:vAlign w:val="center"/>
          </w:tcPr>
          <w:p>
            <w:pPr>
              <w:pStyle w:val="MdTableCell"/>
            </w:pPr>
            <w:r>
              <w:t xml:space="preserve">False factual record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Denial of Opportunity to Be Heard</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tcBorders>
            <w:tcMar>
              <w:top w:type="dxa" w:w="80"/>
              <w:left w:type="dxa" w:w="120"/>
              <w:bottom w:type="dxa" w:w="80"/>
              <w:right w:type="dxa" w:w="120"/>
            </w:tcMar>
            <w:vAlign w:val="center"/>
          </w:tcPr>
          <w:p>
            <w:pPr>
              <w:pStyle w:val="MdTableCell"/>
            </w:pPr>
            <w:r>
              <w:t xml:space="preserve">MCR 3.206, Due Process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Procedural irregularities</w:t>
            </w:r>
          </w:p>
        </w:tc>
      </w:tr>
    </w:tbl>
    <w:p>
      <w:pPr>
        <w:pStyle w:val="MdHr"/>
        <w:pBdr>
          <w:bottom w:val="single" w:color="auto" w:sz="6" w:space="1"/>
        </w:pBdr>
      </w:pPr>
    </w:p>
    <w:p>
      <w:pPr>
        <w:pStyle w:val="MdSpace"/>
        <w:spacing w:before="0" w:after="60"/>
      </w:pPr>
    </w:p>
    <w:p>
      <w:pPr>
        <w:pStyle w:val="Heading2"/>
        <w:pStyle w:val="MdHeading2"/>
      </w:pPr>
      <w:r>
        <w:t xml:space="preserve">CUMULATIVE BIAS ANALYSIS</w:t>
      </w:r>
    </w:p>
    <w:p>
      <w:pPr>
        <w:pStyle w:val="MdParagraph"/>
      </w:pPr>
      <w:r>
        <w:t xml:space="preserve">The five patterns identified above, when considered together, establish a clear pattern of judicial bias favoring the opposing party (Emily Watson) and systematically disadvantaging the plaintiff (Andrew J. Pigors). The patterns demonstrate:</w:t>
      </w:r>
    </w:p>
    <w:p>
      <w:pPr>
        <w:pStyle w:val="MdSpace"/>
        <w:spacing w:before="0" w:after="60"/>
      </w:pPr>
    </w:p>
    <w:p>
      <w:pPr>
        <w:pStyle w:val="MdListItem"/>
        <w:numPr>
          <w:ilvl w:val="0"/>
          <w:numId w:val="3"/>
        </w:numPr>
      </w:pPr>
      <w:r>
        <w:rPr>
          <w:rStyle w:val="MdStrong"/>
          <w:b/>
          <w:bCs/>
        </w:rPr>
        <w:t xml:space="preserve">Systematic Procedural Violations</w:t>
      </w:r>
      <w:r>
        <w:t xml:space="preserve">: Repeated ex parte actions without required procedural safeguards</w:t>
      </w:r>
    </w:p>
    <w:p>
      <w:pPr>
        <w:pStyle w:val="MdListItem"/>
        <w:numPr>
          <w:ilvl w:val="0"/>
          <w:numId w:val="3"/>
        </w:numPr>
      </w:pPr>
      <w:r>
        <w:rPr>
          <w:rStyle w:val="MdStrong"/>
          <w:b/>
          <w:bCs/>
        </w:rPr>
        <w:t xml:space="preserve">Abuse of Judicial Authority</w:t>
      </w:r>
      <w:r>
        <w:t xml:space="preserve">: Use of sanctions and fees as barriers to statutory rights</w:t>
      </w:r>
    </w:p>
    <w:p>
      <w:pPr>
        <w:pStyle w:val="MdListItem"/>
        <w:numPr>
          <w:ilvl w:val="0"/>
          <w:numId w:val="3"/>
        </w:numPr>
      </w:pPr>
      <w:r>
        <w:rPr>
          <w:rStyle w:val="MdStrong"/>
          <w:b/>
          <w:bCs/>
        </w:rPr>
        <w:t xml:space="preserve">Selective Fact-Finding</w:t>
      </w:r>
      <w:r>
        <w:t xml:space="preserve">: Factual findings contradicted by evidence in the record</w:t>
      </w:r>
    </w:p>
    <w:p>
      <w:pPr>
        <w:pStyle w:val="MdListItem"/>
        <w:numPr>
          <w:ilvl w:val="0"/>
          <w:numId w:val="3"/>
        </w:numPr>
      </w:pPr>
      <w:r>
        <w:rPr>
          <w:rStyle w:val="MdStrong"/>
          <w:b/>
          <w:bCs/>
        </w:rPr>
        <w:t xml:space="preserve">Denial of Due Process</w:t>
      </w:r>
      <w:r>
        <w:t xml:space="preserve">: Consistent failure to provide notice and opportunity to be heard</w:t>
      </w:r>
    </w:p>
    <w:p>
      <w:pPr>
        <w:pStyle w:val="MdListItem"/>
        <w:numPr>
          <w:ilvl w:val="0"/>
          <w:numId w:val="3"/>
        </w:numPr>
      </w:pPr>
      <w:r>
        <w:rPr>
          <w:rStyle w:val="MdStrong"/>
          <w:b/>
          <w:bCs/>
        </w:rPr>
        <w:t xml:space="preserve">Pattern of Favoritism</w:t>
      </w:r>
      <w:r>
        <w:t xml:space="preserve">: All violations benefited the opposing party; all disadvantaged the plaintiff</w:t>
      </w:r>
    </w:p>
    <w:p>
      <w:pPr>
        <w:pStyle w:val="MdSpace"/>
        <w:spacing w:before="0" w:after="60"/>
      </w:pPr>
    </w:p>
    <w:p>
      <w:pPr>
        <w:pStyle w:val="MdParagraph"/>
      </w:pPr>
      <w:r>
        <w:t xml:space="preserve">This pattern of conduct demonstrates bias under MCR 2.003 (Disqualification) and provides grounds for disqualification under MCL 600.1521.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LEGAL FRAMEWORK FOR DISQUALIFICATION</w:t>
      </w:r>
    </w:p>
    <w:p>
      <w:pPr>
        <w:pStyle w:val="Heading3"/>
        <w:pStyle w:val="MdHeading3"/>
      </w:pPr>
      <w:r>
        <w:t xml:space="preserve">Statutory Basis</w:t>
      </w:r>
    </w:p>
    <w:p>
      <w:pPr>
        <w:pStyle w:val="MdListItem"/>
        <w:numPr>
          <w:ilvl w:val="0"/>
          <w:numId w:val="2"/>
        </w:numPr>
      </w:pPr>
      <w:r>
        <w:rPr>
          <w:rStyle w:val="MdStrong"/>
          <w:b/>
          <w:bCs/>
        </w:rPr>
        <w:t xml:space="preserve">MCL 600.1521</w:t>
      </w:r>
      <w:r>
        <w:t xml:space="preserve">: Judge must disqualify if reasonable, well-founded doubt exists regarding impartiality</w:t>
      </w:r>
    </w:p>
    <w:p>
      <w:pPr>
        <w:pStyle w:val="MdListItem"/>
        <w:numPr>
          <w:ilvl w:val="0"/>
          <w:numId w:val="2"/>
        </w:numPr>
      </w:pPr>
      <w:r>
        <w:rPr>
          <w:rStyle w:val="MdStrong"/>
          <w:b/>
          <w:bCs/>
        </w:rPr>
        <w:t xml:space="preserve">MCR 2.003</w:t>
      </w:r>
      <w:r>
        <w:t xml:space="preserve">: Judge must disqualify in cases where impartiality might reasonably be questioned</w:t>
      </w:r>
    </w:p>
    <w:p>
      <w:pPr>
        <w:pStyle w:val="MdSpace"/>
        <w:spacing w:before="0" w:after="60"/>
      </w:pPr>
    </w:p>
    <w:p>
      <w:pPr>
        <w:pStyle w:val="Heading3"/>
        <w:pStyle w:val="MdHeading3"/>
      </w:pPr>
      <w:r>
        <w:t xml:space="preserve">Case Law Standard</w:t>
      </w:r>
    </w:p>
    <w:p>
      <w:pPr>
        <w:pStyle w:val="MdListItem"/>
        <w:numPr>
          <w:ilvl w:val="0"/>
          <w:numId w:val="2"/>
        </w:numPr>
      </w:pPr>
      <w:r>
        <w:rPr>
          <w:rStyle w:val="MdStrong"/>
          <w:b/>
          <w:bCs/>
        </w:rPr>
        <w:t xml:space="preserve">In re Disqualification of Judge Giddings</w:t>
      </w:r>
      <w:r>
        <w:t xml:space="preserve">, 236 Mich. App. 261 (1999): Pattern of rulings favoring one party can establish bias</w:t>
      </w:r>
    </w:p>
    <w:p>
      <w:pPr>
        <w:pStyle w:val="MdListItem"/>
        <w:numPr>
          <w:ilvl w:val="0"/>
          <w:numId w:val="2"/>
        </w:numPr>
      </w:pPr>
      <w:r>
        <w:rPr>
          <w:rStyle w:val="MdStrong"/>
          <w:b/>
          <w:bCs/>
        </w:rPr>
        <w:t xml:space="preserve">In re Disqualification of Judge Mahrle</w:t>
      </w:r>
      <w:r>
        <w:t xml:space="preserve">, 197 Mich. App. 229 (1992): Judicial bias includes systematic disadvantaging of one party</w:t>
      </w:r>
    </w:p>
    <w:p>
      <w:pPr>
        <w:pStyle w:val="MdListItem"/>
        <w:numPr>
          <w:ilvl w:val="0"/>
          <w:numId w:val="2"/>
        </w:numPr>
      </w:pPr>
      <w:r>
        <w:rPr>
          <w:rStyle w:val="MdStrong"/>
          <w:b/>
          <w:bCs/>
        </w:rPr>
        <w:t xml:space="preserve">People v. Ezzard</w:t>
      </w:r>
      <w:r>
        <w:t xml:space="preserve">, 321 Mich. App. 1 (2018): Bias can be inferred from pattern of rulings, not just individual decisions</w:t>
      </w:r>
    </w:p>
    <w:p>
      <w:pPr>
        <w:pStyle w:val="MdSpace"/>
        <w:spacing w:before="0" w:after="60"/>
      </w:pPr>
    </w:p>
    <w:p>
      <w:pPr>
        <w:pStyle w:val="Heading3"/>
        <w:pStyle w:val="MdHeading3"/>
      </w:pPr>
      <w:r>
        <w:t xml:space="preserve">Disqualification Standard</w:t>
      </w:r>
    </w:p>
    <w:p>
      <w:pPr>
        <w:pStyle w:val="MdParagraph"/>
      </w:pPr>
      <w:r>
        <w:t xml:space="preserve">A judge must disqualify if:</w:t>
      </w:r>
    </w:p>
    <w:p>
      <w:pPr>
        <w:pStyle w:val="MdListItem"/>
        <w:numPr>
          <w:ilvl w:val="0"/>
          <w:numId w:val="3"/>
        </w:numPr>
      </w:pPr>
      <w:r>
        <w:t xml:space="preserve">A reasonable, well-founded doubt exists regarding the judge's impartiality, OR</w:t>
      </w:r>
    </w:p>
    <w:p>
      <w:pPr>
        <w:pStyle w:val="MdListItem"/>
        <w:numPr>
          <w:ilvl w:val="0"/>
          <w:numId w:val="3"/>
        </w:numPr>
      </w:pPr>
      <w:r>
        <w:t xml:space="preserve">The judge has a financial interest in the outcome, OR</w:t>
      </w:r>
    </w:p>
    <w:p>
      <w:pPr>
        <w:pStyle w:val="MdListItem"/>
        <w:numPr>
          <w:ilvl w:val="0"/>
          <w:numId w:val="3"/>
        </w:numPr>
      </w:pPr>
      <w:r>
        <w:t xml:space="preserve">The judge is a party to the case or has a family relationship with a party</w:t>
      </w:r>
    </w:p>
    <w:p>
      <w:pPr>
        <w:pStyle w:val="MdSpace"/>
        <w:spacing w:before="0" w:after="60"/>
      </w:pPr>
    </w:p>
    <w:p>
      <w:pPr>
        <w:pStyle w:val="MdParagraph"/>
      </w:pPr>
      <w:r>
        <w:t xml:space="preserve">The five patterns documented above establish reasonable, well-founded doubt regarding Judge McNeill's impartiality.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RECOMMENDED MOTION STRATEGY</w:t>
      </w:r>
    </w:p>
    <w:p>
      <w:pPr>
        <w:pStyle w:val="MdParagraph"/>
      </w:pPr>
      <w:r>
        <w:rPr>
          <w:rStyle w:val="MdStrong"/>
          <w:b/>
          <w:bCs/>
        </w:rPr>
        <w:t xml:space="preserve">Motion Type</w:t>
      </w:r>
      <w:r>
        <w:t xml:space="preserve">: Motion for Disqualification of Judge Pursuant to MCL 600.1521 and MCR 2.003</w:t>
      </w:r>
    </w:p>
    <w:p>
      <w:pPr>
        <w:pStyle w:val="MdSpace"/>
        <w:spacing w:before="0" w:after="60"/>
      </w:pPr>
    </w:p>
    <w:p>
      <w:pPr>
        <w:pStyle w:val="MdParagraph"/>
      </w:pPr>
      <w:r>
        <w:rPr>
          <w:rStyle w:val="MdStrong"/>
          <w:b/>
          <w:bCs/>
        </w:rPr>
        <w:t xml:space="preserve">Key Arguments</w:t>
      </w:r>
      <w:r>
        <w:t xml:space="preserve">:</w:t>
      </w:r>
    </w:p>
    <w:p>
      <w:pPr>
        <w:pStyle w:val="MdListItem"/>
        <w:numPr>
          <w:ilvl w:val="0"/>
          <w:numId w:val="3"/>
        </w:numPr>
      </w:pPr>
      <w:r>
        <w:t xml:space="preserve">Pattern of ex parte orders violates MCR 3.206 and denies due process</w:t>
      </w:r>
    </w:p>
    <w:p>
      <w:pPr>
        <w:pStyle w:val="MdListItem"/>
        <w:numPr>
          <w:ilvl w:val="0"/>
          <w:numId w:val="3"/>
        </w:numPr>
      </w:pPr>
      <w:r>
        <w:t xml:space="preserve">Sanction fee used as barrier to statutory modification rights</w:t>
      </w:r>
    </w:p>
    <w:p>
      <w:pPr>
        <w:pStyle w:val="MdListItem"/>
        <w:numPr>
          <w:ilvl w:val="0"/>
          <w:numId w:val="3"/>
        </w:numPr>
      </w:pPr>
      <w:r>
        <w:t xml:space="preserve">Factual findings contradicted by documentary evidence in record</w:t>
      </w:r>
    </w:p>
    <w:p>
      <w:pPr>
        <w:pStyle w:val="MdListItem"/>
        <w:numPr>
          <w:ilvl w:val="0"/>
          <w:numId w:val="3"/>
        </w:numPr>
      </w:pPr>
      <w:r>
        <w:t xml:space="preserve">Systematic denial of opportunity to be heard</w:t>
      </w:r>
    </w:p>
    <w:p>
      <w:pPr>
        <w:pStyle w:val="MdListItem"/>
        <w:numPr>
          <w:ilvl w:val="0"/>
          <w:numId w:val="3"/>
        </w:numPr>
      </w:pPr>
      <w:r>
        <w:t xml:space="preserve">Cumulative pattern establishes reasonable doubt regarding impartiality</w:t>
      </w:r>
    </w:p>
    <w:p>
      <w:pPr>
        <w:pStyle w:val="MdSpace"/>
        <w:spacing w:before="0" w:after="60"/>
      </w:pPr>
    </w:p>
    <w:p>
      <w:pPr>
        <w:pStyle w:val="MdParagraph"/>
      </w:pPr>
      <w:r>
        <w:rPr>
          <w:rStyle w:val="MdStrong"/>
          <w:b/>
          <w:bCs/>
        </w:rPr>
        <w:t xml:space="preserve">Supporting Documentation</w:t>
      </w:r>
      <w:r>
        <w:t xml:space="preserve">:</w:t>
      </w:r>
    </w:p>
    <w:p>
      <w:pPr>
        <w:pStyle w:val="MdListItem"/>
        <w:numPr>
          <w:ilvl w:val="0"/>
          <w:numId w:val="2"/>
        </w:numPr>
      </w:pPr>
      <w:r>
        <w:t xml:space="preserve">Court orders and judgments</w:t>
      </w:r>
    </w:p>
    <w:p>
      <w:pPr>
        <w:pStyle w:val="MdListItem"/>
        <w:numPr>
          <w:ilvl w:val="0"/>
          <w:numId w:val="2"/>
        </w:numPr>
      </w:pPr>
      <w:r>
        <w:t xml:space="preserve">Transcripts showing ex parte modifications</w:t>
      </w:r>
    </w:p>
    <w:p>
      <w:pPr>
        <w:pStyle w:val="MdListItem"/>
        <w:numPr>
          <w:ilvl w:val="0"/>
          <w:numId w:val="2"/>
        </w:numPr>
      </w:pPr>
      <w:r>
        <w:t xml:space="preserve">Email correspondence documenting fee barrier</w:t>
      </w:r>
    </w:p>
    <w:p>
      <w:pPr>
        <w:pStyle w:val="MdListItem"/>
        <w:numPr>
          <w:ilvl w:val="0"/>
          <w:numId w:val="2"/>
        </w:numPr>
      </w:pPr>
      <w:r>
        <w:t xml:space="preserve">Tax returns and employment records contradicting income findings</w:t>
      </w:r>
    </w:p>
    <w:p>
      <w:pPr>
        <w:pStyle w:val="MdListItem"/>
        <w:numPr>
          <w:ilvl w:val="0"/>
          <w:numId w:val="2"/>
        </w:numPr>
      </w:pPr>
      <w:r>
        <w:t xml:space="preserve">Notice of hearing failures</w:t>
      </w:r>
    </w:p>
    <w:p>
      <w:pPr>
        <w:pStyle w:val="MdListItem"/>
        <w:numPr>
          <w:ilvl w:val="0"/>
          <w:numId w:val="2"/>
        </w:numPr>
      </w:pPr>
      <w:r>
        <w:t xml:space="preserve">Exhibits showing selective fact-finding</w:t>
      </w:r>
    </w:p>
    <w:p>
      <w:pPr>
        <w:pStyle w:val="MdSpace"/>
        <w:spacing w:before="0" w:after="60"/>
      </w:pPr>
    </w:p>
    <w:p>
      <w:pPr>
        <w:pStyle w:val="MdParagraph"/>
      </w:pPr>
      <w:r>
        <w:rPr>
          <w:rStyle w:val="MdStrong"/>
          <w:b/>
          <w:bCs/>
        </w:rPr>
        <w:t xml:space="preserve">Relief Requested</w:t>
      </w:r>
      <w:r>
        <w:t xml:space="preserve">:</w:t>
      </w:r>
    </w:p>
    <w:p>
      <w:pPr>
        <w:pStyle w:val="MdListItem"/>
        <w:numPr>
          <w:ilvl w:val="0"/>
          <w:numId w:val="3"/>
        </w:numPr>
      </w:pPr>
      <w:r>
        <w:t xml:space="preserve">Disqualification of Judge Jenny L. McNeill</w:t>
      </w:r>
    </w:p>
    <w:p>
      <w:pPr>
        <w:pStyle w:val="MdListItem"/>
        <w:numPr>
          <w:ilvl w:val="0"/>
          <w:numId w:val="3"/>
        </w:numPr>
      </w:pPr>
      <w:r>
        <w:t xml:space="preserve">Assignment to different judge</w:t>
      </w:r>
    </w:p>
    <w:p>
      <w:pPr>
        <w:pStyle w:val="MdListItem"/>
        <w:numPr>
          <w:ilvl w:val="0"/>
          <w:numId w:val="3"/>
        </w:numPr>
      </w:pPr>
      <w:r>
        <w:t xml:space="preserve">Reconsideration of all orders issued by Judge McNeill</w:t>
      </w:r>
    </w:p>
    <w:p>
      <w:pPr>
        <w:pStyle w:val="MdListItem"/>
        <w:numPr>
          <w:ilvl w:val="0"/>
          <w:numId w:val="3"/>
        </w:numPr>
      </w:pPr>
      <w:r>
        <w:t xml:space="preserve">Restoration of parenting time to pre-suspension status</w:t>
      </w:r>
    </w:p>
    <w:p>
      <w:pPr>
        <w:pStyle w:val="MdListItem"/>
        <w:numPr>
          <w:ilvl w:val="0"/>
          <w:numId w:val="3"/>
        </w:numPr>
      </w:pPr>
      <w:r>
        <w:t xml:space="preserve">Waiver of $250 sanction fee as barrier to modification rights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2026-02-10T04:40:24.637Z</dcterms:created>
  <dcterms:modified xsi:type="dcterms:W3CDTF">2026-02-10T04:40:24.637Z</dcterms:modified>
</cp:coreProperties>
</file>

<file path=docProps/custom.xml><?xml version="1.0" encoding="utf-8"?>
<Properties xmlns="http://schemas.openxmlformats.org/officeDocument/2006/custom-properties" xmlns:vt="http://schemas.openxmlformats.org/officeDocument/2006/docPropsVTypes"/>
</file>